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43196D1A" w:rsidR="00A941DF" w:rsidRPr="00EE006E" w:rsidRDefault="00513276"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#107</w:t>
      </w:r>
      <w:r w:rsidR="004719C3">
        <w:rPr>
          <w:b/>
          <w:sz w:val="24"/>
          <w:szCs w:val="24"/>
        </w:rPr>
        <w:t>-e</w:t>
      </w:r>
      <w:r w:rsidR="00A941DF" w:rsidRPr="00121C7F">
        <w:rPr>
          <w:rFonts w:hint="eastAsia"/>
          <w:b/>
          <w:sz w:val="24"/>
          <w:szCs w:val="24"/>
          <w:lang w:eastAsia="ko-KR"/>
        </w:rPr>
        <w:tab/>
      </w:r>
      <w:r w:rsidR="009D6CAD" w:rsidRPr="009D6CAD">
        <w:rPr>
          <w:b/>
          <w:sz w:val="24"/>
          <w:szCs w:val="24"/>
          <w:lang w:eastAsia="ko-KR"/>
        </w:rPr>
        <w:t>R1-2111726</w:t>
      </w:r>
    </w:p>
    <w:bookmarkEnd w:id="0"/>
    <w:bookmarkEnd w:id="1"/>
    <w:p w14:paraId="38D4F591" w14:textId="7F055755"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513276">
        <w:rPr>
          <w:rFonts w:ascii="Arial" w:hAnsi="Arial"/>
          <w:b/>
          <w:bCs/>
          <w:noProof/>
          <w:sz w:val="24"/>
          <w:szCs w:val="24"/>
        </w:rPr>
        <w:t>November</w:t>
      </w:r>
      <w:r w:rsidR="002B44B0">
        <w:rPr>
          <w:rFonts w:ascii="Arial" w:hAnsi="Arial"/>
          <w:b/>
          <w:bCs/>
          <w:noProof/>
          <w:sz w:val="24"/>
          <w:szCs w:val="24"/>
        </w:rPr>
        <w:t xml:space="preserve"> 11th – 1</w:t>
      </w:r>
      <w:r w:rsidR="005B6441">
        <w:rPr>
          <w:rFonts w:ascii="Arial" w:hAnsi="Arial"/>
          <w:b/>
          <w:bCs/>
          <w:noProof/>
          <w:sz w:val="24"/>
          <w:szCs w:val="24"/>
        </w:rPr>
        <w:t>9</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78B5D8F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656864">
        <w:rPr>
          <w:rFonts w:ascii="Arial" w:hAnsi="Arial"/>
          <w:sz w:val="24"/>
        </w:rPr>
        <w:t>8.2.2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AFF230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656864" w:rsidRPr="00656864">
        <w:rPr>
          <w:rFonts w:ascii="Arial" w:hAnsi="Arial"/>
          <w:sz w:val="24"/>
        </w:rPr>
        <w:t>PDCCH monitoring enhancements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bookmarkStart w:id="3" w:name="_GoBack"/>
      <w:bookmarkEnd w:id="3"/>
    </w:p>
    <w:p w14:paraId="302E411B" w14:textId="0B62D2F9" w:rsidR="00B049BE" w:rsidRDefault="00AE7E06" w:rsidP="00C242B3">
      <w:pPr>
        <w:jc w:val="both"/>
        <w:rPr>
          <w:lang w:val="en-US"/>
        </w:rPr>
      </w:pPr>
      <w:r>
        <w:rPr>
          <w:lang w:val="en-US"/>
        </w:rPr>
        <w:t>In RAN1#106</w:t>
      </w:r>
      <w:r w:rsidR="00656864">
        <w:rPr>
          <w:lang w:val="en-US"/>
        </w:rPr>
        <w:t>bis</w:t>
      </w:r>
      <w:r w:rsidR="00B049BE">
        <w:rPr>
          <w:lang w:val="en-US"/>
        </w:rPr>
        <w:t>-e</w:t>
      </w:r>
      <w:r w:rsidR="00586E61">
        <w:rPr>
          <w:lang w:val="en-US"/>
        </w:rPr>
        <w:t xml:space="preserve"> [1]</w:t>
      </w:r>
      <w:r w:rsidR="00B049BE">
        <w:rPr>
          <w:lang w:val="en-US"/>
        </w:rPr>
        <w:t xml:space="preserve">, </w:t>
      </w:r>
      <w:r w:rsidR="00A3355C">
        <w:rPr>
          <w:lang w:val="en-US"/>
        </w:rPr>
        <w:t xml:space="preserve">the following </w:t>
      </w:r>
      <w:r>
        <w:rPr>
          <w:lang w:val="en-US"/>
        </w:rPr>
        <w:t xml:space="preserve">conclusions and </w:t>
      </w:r>
      <w:r w:rsidR="00A3355C">
        <w:rPr>
          <w:lang w:val="en-US"/>
        </w:rPr>
        <w:t xml:space="preserve">agreements have been made regarding the </w:t>
      </w:r>
      <w:r w:rsidR="00656864">
        <w:rPr>
          <w:lang w:val="en-US"/>
        </w:rPr>
        <w:t>PDCCH monitoring enhancement for NR from</w:t>
      </w:r>
      <w:r w:rsidR="00A3355C">
        <w:rPr>
          <w:lang w:val="en-US"/>
        </w:rPr>
        <w:t xml:space="preserve"> 52.6 to 71 GHz</w:t>
      </w:r>
      <w:r w:rsidR="00B049BE">
        <w:rPr>
          <w:lang w:val="en-US"/>
        </w:rPr>
        <w:t xml:space="preserve">: </w:t>
      </w:r>
    </w:p>
    <w:p w14:paraId="1B242578" w14:textId="77777777" w:rsidR="00656864" w:rsidRDefault="00656864" w:rsidP="00656864">
      <w:pPr>
        <w:spacing w:after="0"/>
        <w:rPr>
          <w:lang w:eastAsia="x-none"/>
        </w:rPr>
      </w:pPr>
      <w:r w:rsidRPr="00DF0C18">
        <w:rPr>
          <w:highlight w:val="green"/>
          <w:lang w:eastAsia="x-none"/>
        </w:rPr>
        <w:t>Agreement:</w:t>
      </w:r>
    </w:p>
    <w:p w14:paraId="54BE1EDF" w14:textId="77777777" w:rsidR="00656864" w:rsidRPr="00392E7D" w:rsidRDefault="00656864" w:rsidP="00656864">
      <w:pPr>
        <w:numPr>
          <w:ilvl w:val="0"/>
          <w:numId w:val="37"/>
        </w:numPr>
        <w:spacing w:after="0"/>
        <w:rPr>
          <w:b/>
          <w:bCs/>
          <w:lang w:eastAsia="x-none"/>
        </w:rPr>
      </w:pPr>
      <w:r w:rsidRPr="00392E7D">
        <w:rPr>
          <w:lang w:eastAsia="x-none"/>
        </w:rPr>
        <w:t>Multi-slot PDCCH monitoring is based on slots within a slot group</w:t>
      </w:r>
    </w:p>
    <w:p w14:paraId="1CB32648" w14:textId="77777777" w:rsidR="00656864" w:rsidRPr="00392E7D" w:rsidRDefault="00656864" w:rsidP="00656864">
      <w:pPr>
        <w:numPr>
          <w:ilvl w:val="1"/>
          <w:numId w:val="37"/>
        </w:numPr>
        <w:spacing w:after="0"/>
        <w:rPr>
          <w:lang w:val="en-US" w:eastAsia="x-none"/>
        </w:rPr>
      </w:pPr>
      <w:r w:rsidRPr="00392E7D">
        <w:rPr>
          <w:lang w:val="en-US" w:eastAsia="x-none"/>
        </w:rPr>
        <w:t>Each slot group consists of X consecutive slots</w:t>
      </w:r>
    </w:p>
    <w:p w14:paraId="1FD066C2" w14:textId="77777777" w:rsidR="00656864" w:rsidRPr="00392E7D" w:rsidRDefault="00656864" w:rsidP="00656864">
      <w:pPr>
        <w:numPr>
          <w:ilvl w:val="2"/>
          <w:numId w:val="37"/>
        </w:numPr>
        <w:spacing w:after="0"/>
        <w:rPr>
          <w:lang w:val="en-US" w:eastAsia="x-none"/>
        </w:rPr>
      </w:pPr>
      <w:r w:rsidRPr="00392E7D">
        <w:rPr>
          <w:lang w:val="en-US" w:eastAsia="x-none"/>
        </w:rPr>
        <w:t>Slot groups are consecutive and non-overlapping</w:t>
      </w:r>
    </w:p>
    <w:p w14:paraId="1902E8B6" w14:textId="77777777" w:rsidR="00656864" w:rsidRPr="00392E7D" w:rsidRDefault="00656864" w:rsidP="00656864">
      <w:pPr>
        <w:numPr>
          <w:ilvl w:val="2"/>
          <w:numId w:val="37"/>
        </w:numPr>
        <w:spacing w:after="0"/>
        <w:rPr>
          <w:lang w:val="en-US" w:eastAsia="x-none"/>
        </w:rPr>
      </w:pPr>
      <w:r w:rsidRPr="00392E7D">
        <w:rPr>
          <w:lang w:val="en-US" w:eastAsia="x-none"/>
        </w:rPr>
        <w:t xml:space="preserve">The start of the first slot group in a </w:t>
      </w:r>
      <w:proofErr w:type="spellStart"/>
      <w:r w:rsidRPr="00392E7D">
        <w:rPr>
          <w:lang w:val="en-US" w:eastAsia="x-none"/>
        </w:rPr>
        <w:t>subframe</w:t>
      </w:r>
      <w:proofErr w:type="spellEnd"/>
      <w:r w:rsidRPr="00392E7D">
        <w:rPr>
          <w:lang w:val="en-US" w:eastAsia="x-none"/>
        </w:rPr>
        <w:t xml:space="preserve"> is aligned with the </w:t>
      </w:r>
      <w:proofErr w:type="spellStart"/>
      <w:r w:rsidRPr="00392E7D">
        <w:rPr>
          <w:lang w:val="en-US" w:eastAsia="x-none"/>
        </w:rPr>
        <w:t>subframe</w:t>
      </w:r>
      <w:proofErr w:type="spellEnd"/>
      <w:r w:rsidRPr="00392E7D">
        <w:rPr>
          <w:lang w:val="en-US" w:eastAsia="x-none"/>
        </w:rPr>
        <w:t xml:space="preserve"> boundary</w:t>
      </w:r>
    </w:p>
    <w:p w14:paraId="1FA6457E" w14:textId="77777777" w:rsidR="00656864" w:rsidRPr="00392E7D" w:rsidRDefault="00656864" w:rsidP="00656864">
      <w:pPr>
        <w:numPr>
          <w:ilvl w:val="2"/>
          <w:numId w:val="37"/>
        </w:numPr>
        <w:spacing w:after="0"/>
        <w:rPr>
          <w:lang w:val="en-US" w:eastAsia="x-none"/>
        </w:rPr>
      </w:pPr>
      <w:r w:rsidRPr="00392E7D">
        <w:rPr>
          <w:lang w:val="en-US" w:eastAsia="x-none"/>
        </w:rPr>
        <w:t>The start of each slot group is aligned with a slot boundary</w:t>
      </w:r>
    </w:p>
    <w:p w14:paraId="48C4AF2A" w14:textId="77777777" w:rsidR="00656864" w:rsidRDefault="00656864" w:rsidP="00656864">
      <w:pPr>
        <w:numPr>
          <w:ilvl w:val="2"/>
          <w:numId w:val="37"/>
        </w:numPr>
        <w:spacing w:after="0"/>
        <w:rPr>
          <w:lang w:eastAsia="x-none"/>
        </w:rPr>
      </w:pPr>
      <w:r w:rsidRPr="00392E7D">
        <w:rPr>
          <w:lang w:eastAsia="x-none"/>
        </w:rPr>
        <w:t xml:space="preserve">Reporting the </w:t>
      </w:r>
      <w:r w:rsidRPr="00392E7D">
        <w:rPr>
          <w:lang w:val="en-US" w:eastAsia="x-none"/>
        </w:rPr>
        <w:t>BD/CCE budget</w:t>
      </w:r>
      <w:r w:rsidRPr="00392E7D">
        <w:rPr>
          <w:lang w:eastAsia="x-none"/>
        </w:rPr>
        <w:t xml:space="preserve"> for X=4/8 slots (for 480/960 kHz resp.) is mandatory</w:t>
      </w:r>
      <w:r>
        <w:rPr>
          <w:lang w:eastAsia="x-none"/>
        </w:rPr>
        <w:t xml:space="preserve"> (if UE supports the corresponding SCS)</w:t>
      </w:r>
      <w:r w:rsidRPr="00392E7D">
        <w:rPr>
          <w:lang w:eastAsia="x-none"/>
        </w:rPr>
        <w:t>, and is optional for X</w:t>
      </w:r>
      <w:proofErr w:type="gramStart"/>
      <w:r w:rsidRPr="00392E7D">
        <w:rPr>
          <w:lang w:eastAsia="x-none"/>
        </w:rPr>
        <w:t>=</w:t>
      </w:r>
      <w:r>
        <w:rPr>
          <w:lang w:eastAsia="x-none"/>
        </w:rPr>
        <w:t>[</w:t>
      </w:r>
      <w:proofErr w:type="gramEnd"/>
      <w:r w:rsidRPr="00392E7D">
        <w:rPr>
          <w:lang w:eastAsia="x-none"/>
        </w:rPr>
        <w:t>2</w:t>
      </w:r>
      <w:r>
        <w:rPr>
          <w:lang w:eastAsia="x-none"/>
        </w:rPr>
        <w:t>]</w:t>
      </w:r>
      <w:r w:rsidRPr="00392E7D">
        <w:rPr>
          <w:lang w:eastAsia="x-none"/>
        </w:rPr>
        <w:t>/4 slots (for 480/960 kHz resp.)</w:t>
      </w:r>
    </w:p>
    <w:p w14:paraId="3C80C788" w14:textId="77777777" w:rsidR="00656864" w:rsidRPr="00392E7D" w:rsidRDefault="00656864" w:rsidP="00656864">
      <w:pPr>
        <w:numPr>
          <w:ilvl w:val="0"/>
          <w:numId w:val="37"/>
        </w:numPr>
        <w:spacing w:after="0"/>
        <w:rPr>
          <w:lang w:eastAsia="x-none"/>
        </w:rPr>
      </w:pPr>
      <w:r>
        <w:rPr>
          <w:lang w:eastAsia="x-none"/>
        </w:rPr>
        <w:t>There is a common BD budget for all search spaces</w:t>
      </w:r>
    </w:p>
    <w:p w14:paraId="33738E1D" w14:textId="77777777" w:rsidR="00656864" w:rsidRDefault="00656864" w:rsidP="00656864">
      <w:pPr>
        <w:numPr>
          <w:ilvl w:val="0"/>
          <w:numId w:val="37"/>
        </w:numPr>
        <w:spacing w:after="0"/>
        <w:rPr>
          <w:lang w:eastAsia="x-none"/>
        </w:rPr>
      </w:pPr>
      <w:r>
        <w:rPr>
          <w:lang w:eastAsia="x-none"/>
        </w:rPr>
        <w:t xml:space="preserve">FFS: </w:t>
      </w:r>
      <w:r w:rsidRPr="00392E7D">
        <w:rPr>
          <w:lang w:eastAsia="x-none"/>
        </w:rPr>
        <w:t>Search space configuration</w:t>
      </w:r>
    </w:p>
    <w:p w14:paraId="731FC2FA" w14:textId="77777777" w:rsidR="00656864" w:rsidRPr="00392E7D" w:rsidRDefault="00656864" w:rsidP="00656864">
      <w:pPr>
        <w:numPr>
          <w:ilvl w:val="1"/>
          <w:numId w:val="37"/>
        </w:numPr>
        <w:spacing w:after="0"/>
        <w:rPr>
          <w:lang w:val="en-US" w:eastAsia="x-none"/>
        </w:rPr>
      </w:pPr>
      <w:r w:rsidRPr="00392E7D">
        <w:rPr>
          <w:rFonts w:hint="eastAsia"/>
          <w:lang w:val="en-US" w:eastAsia="x-none"/>
        </w:rPr>
        <w:t>F</w:t>
      </w:r>
      <w:r w:rsidRPr="00392E7D">
        <w:rPr>
          <w:lang w:val="en-US" w:eastAsia="x-none"/>
        </w:rPr>
        <w:t>or Group (1) SS</w:t>
      </w:r>
    </w:p>
    <w:p w14:paraId="2487E5DC" w14:textId="77777777" w:rsidR="00656864" w:rsidRPr="00392E7D" w:rsidRDefault="00656864" w:rsidP="00656864">
      <w:pPr>
        <w:numPr>
          <w:ilvl w:val="2"/>
          <w:numId w:val="37"/>
        </w:numPr>
        <w:spacing w:after="0"/>
        <w:rPr>
          <w:lang w:eastAsia="x-none"/>
        </w:rPr>
      </w:pPr>
      <w:r w:rsidRPr="00392E7D">
        <w:rPr>
          <w:lang w:eastAsia="x-none"/>
        </w:rPr>
        <w:t>A SS is configured to be within Y</w:t>
      </w:r>
      <w:r w:rsidRPr="00392E7D">
        <w:rPr>
          <w:vertAlign w:val="subscript"/>
          <w:lang w:eastAsia="x-none"/>
        </w:rPr>
        <w:t>Group1</w:t>
      </w:r>
      <w:r w:rsidRPr="00392E7D">
        <w:rPr>
          <w:lang w:eastAsia="x-none"/>
        </w:rPr>
        <w:t xml:space="preserve"> consecutive slots within a slot group of X slots</w:t>
      </w:r>
    </w:p>
    <w:p w14:paraId="0C89F846" w14:textId="77777777" w:rsidR="00656864" w:rsidRPr="00392E7D" w:rsidRDefault="00656864" w:rsidP="00656864">
      <w:pPr>
        <w:numPr>
          <w:ilvl w:val="2"/>
          <w:numId w:val="37"/>
        </w:numPr>
        <w:spacing w:after="0"/>
        <w:rPr>
          <w:lang w:val="en-US" w:eastAsia="x-none"/>
        </w:rPr>
      </w:pPr>
      <w:r w:rsidRPr="00392E7D">
        <w:rPr>
          <w:lang w:val="en-US" w:eastAsia="x-none"/>
        </w:rPr>
        <w:t xml:space="preserve">The location of the </w:t>
      </w:r>
      <w:r w:rsidRPr="00392E7D">
        <w:rPr>
          <w:lang w:eastAsia="x-none"/>
        </w:rPr>
        <w:t>Y</w:t>
      </w:r>
      <w:r w:rsidRPr="00392E7D">
        <w:rPr>
          <w:vertAlign w:val="subscript"/>
          <w:lang w:eastAsia="x-none"/>
        </w:rPr>
        <w:t>Group1</w:t>
      </w:r>
      <w:r w:rsidRPr="00392E7D">
        <w:rPr>
          <w:lang w:eastAsia="x-none"/>
        </w:rPr>
        <w:t xml:space="preserve"> </w:t>
      </w:r>
      <w:r w:rsidRPr="00392E7D">
        <w:rPr>
          <w:lang w:val="en-US" w:eastAsia="x-none"/>
        </w:rPr>
        <w:t xml:space="preserve">consecutive slots within a slot group of X slots is based on a time offset within the slot group based on slot index n0 determined for Group (2) monitoring such that the </w:t>
      </w:r>
      <w:r w:rsidRPr="00392E7D">
        <w:rPr>
          <w:lang w:eastAsia="x-none"/>
        </w:rPr>
        <w:t>Y</w:t>
      </w:r>
      <w:r w:rsidRPr="00392E7D">
        <w:rPr>
          <w:vertAlign w:val="subscript"/>
          <w:lang w:eastAsia="x-none"/>
        </w:rPr>
        <w:t>Group1</w:t>
      </w:r>
      <w:r w:rsidRPr="00392E7D">
        <w:rPr>
          <w:lang w:eastAsia="x-none"/>
        </w:rPr>
        <w:t xml:space="preserve"> </w:t>
      </w:r>
      <w:r w:rsidRPr="00392E7D">
        <w:rPr>
          <w:lang w:val="en-US" w:eastAsia="x-none"/>
        </w:rPr>
        <w:t xml:space="preserve">slots overlap the </w:t>
      </w:r>
      <w:r w:rsidRPr="00392E7D">
        <w:rPr>
          <w:lang w:eastAsia="x-none"/>
        </w:rPr>
        <w:t>Y</w:t>
      </w:r>
      <w:r w:rsidRPr="00392E7D">
        <w:rPr>
          <w:vertAlign w:val="subscript"/>
          <w:lang w:eastAsia="x-none"/>
        </w:rPr>
        <w:t>Group2</w:t>
      </w:r>
      <w:r w:rsidRPr="00392E7D">
        <w:rPr>
          <w:lang w:eastAsia="x-none"/>
        </w:rPr>
        <w:t xml:space="preserve"> </w:t>
      </w:r>
      <w:r w:rsidRPr="00392E7D">
        <w:rPr>
          <w:lang w:val="en-US" w:eastAsia="x-none"/>
        </w:rPr>
        <w:t>slots</w:t>
      </w:r>
    </w:p>
    <w:p w14:paraId="2406569F" w14:textId="77777777" w:rsidR="00656864" w:rsidRPr="00392E7D" w:rsidRDefault="00656864" w:rsidP="00656864">
      <w:pPr>
        <w:numPr>
          <w:ilvl w:val="2"/>
          <w:numId w:val="37"/>
        </w:numPr>
        <w:spacing w:after="0"/>
        <w:rPr>
          <w:lang w:val="en-US" w:eastAsia="x-none"/>
        </w:rPr>
      </w:pPr>
      <w:r w:rsidRPr="00392E7D">
        <w:rPr>
          <w:lang w:val="en-US" w:eastAsia="x-none"/>
        </w:rPr>
        <w:t xml:space="preserve">The location of the </w:t>
      </w:r>
      <w:r w:rsidRPr="00392E7D">
        <w:rPr>
          <w:lang w:eastAsia="x-none"/>
        </w:rPr>
        <w:t>Y</w:t>
      </w:r>
      <w:r w:rsidRPr="00392E7D">
        <w:rPr>
          <w:vertAlign w:val="subscript"/>
          <w:lang w:eastAsia="x-none"/>
        </w:rPr>
        <w:t>Group1</w:t>
      </w:r>
      <w:r w:rsidRPr="00392E7D">
        <w:rPr>
          <w:lang w:eastAsia="x-none"/>
        </w:rPr>
        <w:t xml:space="preserve"> </w:t>
      </w:r>
      <w:r w:rsidRPr="00392E7D">
        <w:rPr>
          <w:lang w:val="en-US" w:eastAsia="x-none"/>
        </w:rPr>
        <w:t xml:space="preserve">consecutive slots within a </w:t>
      </w:r>
      <w:r w:rsidRPr="00392E7D">
        <w:rPr>
          <w:lang w:eastAsia="x-none"/>
        </w:rPr>
        <w:t>slot group of X slots</w:t>
      </w:r>
      <w:r w:rsidRPr="00392E7D">
        <w:rPr>
          <w:lang w:val="en-US" w:eastAsia="x-none"/>
        </w:rPr>
        <w:t xml:space="preserve"> is maintained across different slot groups (unless n0 changes)</w:t>
      </w:r>
    </w:p>
    <w:p w14:paraId="2235C64A" w14:textId="77777777" w:rsidR="00656864" w:rsidRPr="00392E7D" w:rsidRDefault="00656864" w:rsidP="00656864">
      <w:pPr>
        <w:numPr>
          <w:ilvl w:val="2"/>
          <w:numId w:val="37"/>
        </w:numPr>
        <w:spacing w:after="0"/>
        <w:rPr>
          <w:lang w:val="en-US" w:eastAsia="x-none"/>
        </w:rPr>
      </w:pPr>
      <w:r w:rsidRPr="00392E7D">
        <w:rPr>
          <w:lang w:eastAsia="x-none"/>
        </w:rPr>
        <w:t>BD attempts for all Group (1) SSs are restricted to fall within the same Y</w:t>
      </w:r>
      <w:r w:rsidRPr="00392E7D">
        <w:rPr>
          <w:vertAlign w:val="subscript"/>
          <w:lang w:eastAsia="x-none"/>
        </w:rPr>
        <w:t>Group1</w:t>
      </w:r>
      <w:r w:rsidRPr="00392E7D">
        <w:rPr>
          <w:lang w:eastAsia="x-none"/>
        </w:rPr>
        <w:t xml:space="preserve"> consecutive slots</w:t>
      </w:r>
    </w:p>
    <w:p w14:paraId="0404C507" w14:textId="77777777" w:rsidR="00656864" w:rsidRPr="00392E7D" w:rsidRDefault="00656864" w:rsidP="00656864">
      <w:pPr>
        <w:numPr>
          <w:ilvl w:val="1"/>
          <w:numId w:val="37"/>
        </w:numPr>
        <w:spacing w:after="0"/>
        <w:rPr>
          <w:lang w:val="en-US" w:eastAsia="x-none"/>
        </w:rPr>
      </w:pPr>
      <w:r w:rsidRPr="00392E7D">
        <w:rPr>
          <w:rFonts w:hint="eastAsia"/>
          <w:lang w:val="en-US" w:eastAsia="x-none"/>
        </w:rPr>
        <w:t>F</w:t>
      </w:r>
      <w:r w:rsidRPr="00392E7D">
        <w:rPr>
          <w:lang w:val="en-US" w:eastAsia="x-none"/>
        </w:rPr>
        <w:t>or Group (2) SS</w:t>
      </w:r>
    </w:p>
    <w:p w14:paraId="46073D3D" w14:textId="77777777" w:rsidR="00656864" w:rsidRPr="00392E7D" w:rsidRDefault="00656864" w:rsidP="00656864">
      <w:pPr>
        <w:numPr>
          <w:ilvl w:val="2"/>
          <w:numId w:val="37"/>
        </w:numPr>
        <w:spacing w:after="0"/>
        <w:rPr>
          <w:lang w:val="en-US" w:eastAsia="x-none"/>
        </w:rPr>
      </w:pPr>
      <w:r w:rsidRPr="00392E7D">
        <w:rPr>
          <w:lang w:eastAsia="x-none"/>
        </w:rPr>
        <w:t>A SS is configured to be within Y</w:t>
      </w:r>
      <w:r w:rsidRPr="00392E7D">
        <w:rPr>
          <w:vertAlign w:val="subscript"/>
          <w:lang w:eastAsia="x-none"/>
        </w:rPr>
        <w:t>Group2</w:t>
      </w:r>
      <w:r w:rsidRPr="00392E7D">
        <w:rPr>
          <w:lang w:eastAsia="x-none"/>
        </w:rPr>
        <w:t xml:space="preserve"> consecutive slots within a slot group of X slots</w:t>
      </w:r>
    </w:p>
    <w:p w14:paraId="1EC520A2" w14:textId="77777777" w:rsidR="00656864" w:rsidRPr="00392E7D" w:rsidRDefault="00656864" w:rsidP="00656864">
      <w:pPr>
        <w:numPr>
          <w:ilvl w:val="2"/>
          <w:numId w:val="37"/>
        </w:numPr>
        <w:spacing w:after="0"/>
        <w:rPr>
          <w:lang w:val="en-US" w:eastAsia="x-none"/>
        </w:rPr>
      </w:pPr>
      <w:r w:rsidRPr="00392E7D">
        <w:rPr>
          <w:lang w:val="en-US" w:eastAsia="x-none"/>
        </w:rPr>
        <w:t xml:space="preserve">The location of the </w:t>
      </w:r>
      <w:r w:rsidRPr="00392E7D">
        <w:rPr>
          <w:lang w:eastAsia="x-none"/>
        </w:rPr>
        <w:t>Y</w:t>
      </w:r>
      <w:r w:rsidRPr="00392E7D">
        <w:rPr>
          <w:vertAlign w:val="subscript"/>
          <w:lang w:eastAsia="x-none"/>
        </w:rPr>
        <w:t>Group2</w:t>
      </w:r>
      <w:r w:rsidRPr="00392E7D">
        <w:rPr>
          <w:lang w:eastAsia="x-none"/>
        </w:rPr>
        <w:t xml:space="preserve"> </w:t>
      </w:r>
      <w:r w:rsidRPr="00392E7D">
        <w:rPr>
          <w:lang w:val="en-US" w:eastAsia="x-none"/>
        </w:rPr>
        <w:t>consecutive slots within a slot group of X slots is maintained across different slot groups (unless n0 changes)</w:t>
      </w:r>
    </w:p>
    <w:p w14:paraId="0B81A7AB" w14:textId="77777777" w:rsidR="00656864" w:rsidRPr="00392E7D" w:rsidRDefault="00656864" w:rsidP="00656864">
      <w:pPr>
        <w:numPr>
          <w:ilvl w:val="1"/>
          <w:numId w:val="37"/>
        </w:numPr>
        <w:spacing w:after="0"/>
        <w:rPr>
          <w:lang w:eastAsia="x-none"/>
        </w:rPr>
      </w:pPr>
      <w:r w:rsidRPr="00392E7D">
        <w:rPr>
          <w:lang w:val="en-US" w:eastAsia="x-none"/>
        </w:rPr>
        <w:t>The reported capability indicates the BD/CCE budget within Y=</w:t>
      </w:r>
      <w:proofErr w:type="gramStart"/>
      <w:r w:rsidRPr="00392E7D">
        <w:rPr>
          <w:lang w:val="en-US" w:eastAsia="x-none"/>
        </w:rPr>
        <w:t>max(</w:t>
      </w:r>
      <w:proofErr w:type="gramEnd"/>
      <w:r w:rsidRPr="00392E7D">
        <w:rPr>
          <w:lang w:eastAsia="x-none"/>
        </w:rPr>
        <w:t>Y</w:t>
      </w:r>
      <w:r w:rsidRPr="00392E7D">
        <w:rPr>
          <w:vertAlign w:val="subscript"/>
          <w:lang w:eastAsia="x-none"/>
        </w:rPr>
        <w:t>Group1</w:t>
      </w:r>
      <w:r w:rsidRPr="00392E7D">
        <w:rPr>
          <w:lang w:eastAsia="x-none"/>
        </w:rPr>
        <w:t>,</w:t>
      </w:r>
      <w:r>
        <w:rPr>
          <w:lang w:eastAsia="x-none"/>
        </w:rPr>
        <w:t xml:space="preserve"> </w:t>
      </w:r>
      <w:r w:rsidRPr="00392E7D">
        <w:rPr>
          <w:lang w:eastAsia="x-none"/>
        </w:rPr>
        <w:t>2</w:t>
      </w:r>
      <w:r w:rsidRPr="00392E7D">
        <w:rPr>
          <w:lang w:val="en-US" w:eastAsia="x-none"/>
        </w:rPr>
        <w:t>) slots per slot group</w:t>
      </w:r>
    </w:p>
    <w:p w14:paraId="080A032C" w14:textId="77777777" w:rsidR="00656864" w:rsidRPr="00392E7D" w:rsidRDefault="00656864" w:rsidP="00656864">
      <w:pPr>
        <w:numPr>
          <w:ilvl w:val="1"/>
          <w:numId w:val="37"/>
        </w:numPr>
        <w:spacing w:after="0"/>
        <w:rPr>
          <w:lang w:eastAsia="x-none"/>
        </w:rPr>
      </w:pPr>
      <w:r w:rsidRPr="00392E7D">
        <w:rPr>
          <w:lang w:eastAsia="x-none"/>
        </w:rPr>
        <w:t>Support the following values of Y</w:t>
      </w:r>
      <w:r w:rsidRPr="00392E7D">
        <w:rPr>
          <w:vertAlign w:val="subscript"/>
          <w:lang w:eastAsia="x-none"/>
        </w:rPr>
        <w:t>Group1</w:t>
      </w:r>
      <w:r w:rsidRPr="00392E7D">
        <w:rPr>
          <w:lang w:eastAsia="x-none"/>
        </w:rPr>
        <w:t xml:space="preserve"> and Y</w:t>
      </w:r>
      <w:r w:rsidRPr="00392E7D">
        <w:rPr>
          <w:vertAlign w:val="subscript"/>
          <w:lang w:eastAsia="x-none"/>
        </w:rPr>
        <w:t>Group2</w:t>
      </w:r>
    </w:p>
    <w:p w14:paraId="03285D5E" w14:textId="77777777" w:rsidR="00656864" w:rsidRPr="00392E7D" w:rsidRDefault="00656864" w:rsidP="00656864">
      <w:pPr>
        <w:numPr>
          <w:ilvl w:val="2"/>
          <w:numId w:val="37"/>
        </w:numPr>
        <w:spacing w:after="0"/>
        <w:rPr>
          <w:lang w:eastAsia="x-none"/>
        </w:rPr>
      </w:pPr>
      <w:r w:rsidRPr="00392E7D">
        <w:rPr>
          <w:lang w:eastAsia="x-none"/>
        </w:rPr>
        <w:t>For X=8: (Y</w:t>
      </w:r>
      <w:r w:rsidRPr="00392E7D">
        <w:rPr>
          <w:vertAlign w:val="subscript"/>
          <w:lang w:eastAsia="x-none"/>
        </w:rPr>
        <w:t>Group</w:t>
      </w:r>
      <w:proofErr w:type="gramStart"/>
      <w:r w:rsidRPr="00392E7D">
        <w:rPr>
          <w:vertAlign w:val="subscript"/>
          <w:lang w:eastAsia="x-none"/>
        </w:rPr>
        <w:t>1</w:t>
      </w:r>
      <w:r w:rsidRPr="00392E7D">
        <w:rPr>
          <w:lang w:eastAsia="x-none"/>
        </w:rPr>
        <w:t>,Y</w:t>
      </w:r>
      <w:r w:rsidRPr="00392E7D">
        <w:rPr>
          <w:vertAlign w:val="subscript"/>
          <w:lang w:eastAsia="x-none"/>
        </w:rPr>
        <w:t>Group</w:t>
      </w:r>
      <w:proofErr w:type="gramEnd"/>
      <w:r w:rsidRPr="00392E7D">
        <w:rPr>
          <w:vertAlign w:val="subscript"/>
          <w:lang w:eastAsia="x-none"/>
        </w:rPr>
        <w:t>2</w:t>
      </w:r>
      <w:r w:rsidRPr="00392E7D">
        <w:rPr>
          <w:lang w:eastAsia="x-none"/>
        </w:rPr>
        <w:t>) = (4,2), (2,2), (1,[1 or 2])</w:t>
      </w:r>
    </w:p>
    <w:p w14:paraId="3E92A355" w14:textId="77777777" w:rsidR="00656864" w:rsidRPr="00392E7D" w:rsidRDefault="00656864" w:rsidP="00656864">
      <w:pPr>
        <w:numPr>
          <w:ilvl w:val="2"/>
          <w:numId w:val="37"/>
        </w:numPr>
        <w:spacing w:after="0"/>
        <w:rPr>
          <w:lang w:eastAsia="x-none"/>
        </w:rPr>
      </w:pPr>
      <w:r w:rsidRPr="00392E7D">
        <w:rPr>
          <w:lang w:eastAsia="x-none"/>
        </w:rPr>
        <w:t>For X=4: (Y</w:t>
      </w:r>
      <w:r w:rsidRPr="00392E7D">
        <w:rPr>
          <w:vertAlign w:val="subscript"/>
          <w:lang w:eastAsia="x-none"/>
        </w:rPr>
        <w:t>Group</w:t>
      </w:r>
      <w:proofErr w:type="gramStart"/>
      <w:r w:rsidRPr="00392E7D">
        <w:rPr>
          <w:vertAlign w:val="subscript"/>
          <w:lang w:eastAsia="x-none"/>
        </w:rPr>
        <w:t>1</w:t>
      </w:r>
      <w:r w:rsidRPr="00392E7D">
        <w:rPr>
          <w:lang w:eastAsia="x-none"/>
        </w:rPr>
        <w:t>,Y</w:t>
      </w:r>
      <w:r w:rsidRPr="00392E7D">
        <w:rPr>
          <w:vertAlign w:val="subscript"/>
          <w:lang w:eastAsia="x-none"/>
        </w:rPr>
        <w:t>Group</w:t>
      </w:r>
      <w:proofErr w:type="gramEnd"/>
      <w:r w:rsidRPr="00392E7D">
        <w:rPr>
          <w:vertAlign w:val="subscript"/>
          <w:lang w:eastAsia="x-none"/>
        </w:rPr>
        <w:t>2</w:t>
      </w:r>
      <w:r w:rsidRPr="00392E7D">
        <w:rPr>
          <w:lang w:eastAsia="x-none"/>
        </w:rPr>
        <w:t>) = (2,2), (1,[1 or 2])</w:t>
      </w:r>
    </w:p>
    <w:p w14:paraId="1A90D8F6" w14:textId="77777777" w:rsidR="00656864" w:rsidRDefault="00656864" w:rsidP="00656864">
      <w:pPr>
        <w:numPr>
          <w:ilvl w:val="2"/>
          <w:numId w:val="37"/>
        </w:numPr>
        <w:spacing w:after="0"/>
        <w:rPr>
          <w:lang w:eastAsia="x-none"/>
        </w:rPr>
      </w:pPr>
      <w:r w:rsidRPr="00392E7D">
        <w:rPr>
          <w:lang w:eastAsia="x-none"/>
        </w:rPr>
        <w:t>For X=2: (Y</w:t>
      </w:r>
      <w:r w:rsidRPr="00392E7D">
        <w:rPr>
          <w:vertAlign w:val="subscript"/>
          <w:lang w:eastAsia="x-none"/>
        </w:rPr>
        <w:t>Group</w:t>
      </w:r>
      <w:proofErr w:type="gramStart"/>
      <w:r w:rsidRPr="00392E7D">
        <w:rPr>
          <w:vertAlign w:val="subscript"/>
          <w:lang w:eastAsia="x-none"/>
        </w:rPr>
        <w:t>1</w:t>
      </w:r>
      <w:r w:rsidRPr="00392E7D">
        <w:rPr>
          <w:lang w:eastAsia="x-none"/>
        </w:rPr>
        <w:t>,Y</w:t>
      </w:r>
      <w:r w:rsidRPr="00392E7D">
        <w:rPr>
          <w:vertAlign w:val="subscript"/>
          <w:lang w:eastAsia="x-none"/>
        </w:rPr>
        <w:t>Group</w:t>
      </w:r>
      <w:proofErr w:type="gramEnd"/>
      <w:r w:rsidRPr="00392E7D">
        <w:rPr>
          <w:vertAlign w:val="subscript"/>
          <w:lang w:eastAsia="x-none"/>
        </w:rPr>
        <w:t>2</w:t>
      </w:r>
      <w:r w:rsidRPr="00392E7D">
        <w:rPr>
          <w:lang w:eastAsia="x-none"/>
        </w:rPr>
        <w:t>) = (1,[1 or 2])</w:t>
      </w:r>
    </w:p>
    <w:p w14:paraId="41E0211F" w14:textId="77777777" w:rsidR="00656864" w:rsidRDefault="00656864" w:rsidP="00656864">
      <w:pPr>
        <w:numPr>
          <w:ilvl w:val="1"/>
          <w:numId w:val="37"/>
        </w:numPr>
        <w:spacing w:after="0"/>
        <w:rPr>
          <w:lang w:eastAsia="x-none"/>
        </w:rPr>
      </w:pPr>
      <w:r w:rsidRPr="00392E7D">
        <w:rPr>
          <w:lang w:eastAsia="x-none"/>
        </w:rPr>
        <w:t>Group (1) SS: Type 1 CSS with dedicated RRC configuration and type 3 CSS, UE specific SS</w:t>
      </w:r>
    </w:p>
    <w:p w14:paraId="4E636E3D" w14:textId="77777777" w:rsidR="00656864" w:rsidRPr="00392E7D" w:rsidRDefault="00656864" w:rsidP="00656864">
      <w:pPr>
        <w:numPr>
          <w:ilvl w:val="1"/>
          <w:numId w:val="37"/>
        </w:numPr>
        <w:spacing w:after="0"/>
        <w:rPr>
          <w:lang w:eastAsia="x-none"/>
        </w:rPr>
      </w:pPr>
      <w:r w:rsidRPr="00392E7D">
        <w:rPr>
          <w:lang w:eastAsia="x-none"/>
        </w:rPr>
        <w:t>Group (2) SS: Type 1 CSS without dedicated RRC configuration and type 0, 0A, and 2 CSS</w:t>
      </w:r>
    </w:p>
    <w:p w14:paraId="73948898" w14:textId="77777777" w:rsidR="00513276" w:rsidRPr="002F6DA1" w:rsidRDefault="00513276" w:rsidP="00513276">
      <w:pPr>
        <w:pStyle w:val="BodyText"/>
        <w:spacing w:after="0"/>
        <w:rPr>
          <w:rFonts w:ascii="Times New Roman" w:hAnsi="Times New Roman"/>
          <w:szCs w:val="20"/>
          <w:lang w:eastAsia="zh-CN"/>
        </w:rPr>
      </w:pPr>
    </w:p>
    <w:p w14:paraId="7FF41CA8" w14:textId="6830DC96" w:rsidR="00294193" w:rsidRDefault="00294193" w:rsidP="00294193">
      <w:pPr>
        <w:rPr>
          <w:lang w:eastAsia="x-none"/>
        </w:rPr>
      </w:pPr>
      <w:r>
        <w:rPr>
          <w:lang w:eastAsia="x-none"/>
        </w:rPr>
        <w:t xml:space="preserve">This contribution discusses the further design details for </w:t>
      </w:r>
      <w:r w:rsidR="00F579FF">
        <w:rPr>
          <w:lang w:eastAsia="x-none"/>
        </w:rPr>
        <w:t xml:space="preserve">the </w:t>
      </w:r>
      <w:r w:rsidR="00656864">
        <w:rPr>
          <w:lang w:eastAsia="x-none"/>
        </w:rPr>
        <w:t>PDCCH monitoring enhancement for</w:t>
      </w:r>
      <w:r>
        <w:rPr>
          <w:lang w:eastAsia="x-none"/>
        </w:rPr>
        <w:t xml:space="preserve"> NR </w:t>
      </w:r>
      <w:r w:rsidR="00656864">
        <w:rPr>
          <w:lang w:eastAsia="x-none"/>
        </w:rPr>
        <w:t xml:space="preserve">from </w:t>
      </w:r>
      <w:r>
        <w:rPr>
          <w:lang w:eastAsia="x-none"/>
        </w:rPr>
        <w:t>52.6 to 71 GHz.</w:t>
      </w:r>
    </w:p>
    <w:p w14:paraId="74565B36" w14:textId="0EA1B44A" w:rsidR="0028289A" w:rsidRDefault="008D0BF7"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Multi-slot PDCCH Monitoring</w:t>
      </w:r>
    </w:p>
    <w:p w14:paraId="503F0915" w14:textId="6053D0CE" w:rsidR="008D0BF7" w:rsidRPr="008D0BF7" w:rsidRDefault="008D0BF7" w:rsidP="008D0BF7">
      <w:pPr>
        <w:pStyle w:val="Heading2"/>
        <w:keepLines w:val="0"/>
        <w:widowControl w:val="0"/>
        <w:numPr>
          <w:ilvl w:val="1"/>
          <w:numId w:val="38"/>
        </w:numPr>
        <w:tabs>
          <w:tab w:val="num" w:pos="576"/>
        </w:tabs>
        <w:overflowPunct/>
        <w:autoSpaceDE/>
        <w:autoSpaceDN/>
        <w:adjustRightInd/>
        <w:spacing w:before="120" w:line="240" w:lineRule="auto"/>
        <w:ind w:left="576" w:hanging="576"/>
        <w:textAlignment w:val="auto"/>
        <w:rPr>
          <w:sz w:val="28"/>
          <w:lang w:val="en-US"/>
        </w:rPr>
      </w:pPr>
      <w:r>
        <w:rPr>
          <w:sz w:val="28"/>
          <w:lang w:val="en-US"/>
        </w:rPr>
        <w:t>UE capability for multi-slot PDCCH monitoring</w:t>
      </w:r>
    </w:p>
    <w:p w14:paraId="6C8E4309" w14:textId="2936BF3A" w:rsidR="008D0BF7" w:rsidRDefault="008D0BF7" w:rsidP="008D0BF7">
      <w:pPr>
        <w:spacing w:after="0"/>
        <w:jc w:val="both"/>
        <w:rPr>
          <w:lang w:val="en-US"/>
        </w:rPr>
      </w:pPr>
      <w:r>
        <w:rPr>
          <w:lang w:val="en-US"/>
        </w:rPr>
        <w:t xml:space="preserve">In RAN1#106bis-e, the following two options on defining the UE capability for multi-slot PDCCH monitoring were discussed without consensus. </w:t>
      </w:r>
    </w:p>
    <w:p w14:paraId="3048EE63" w14:textId="77777777" w:rsidR="008D0BF7" w:rsidRDefault="008D0BF7" w:rsidP="008D0BF7">
      <w:pPr>
        <w:pStyle w:val="ListParagraph"/>
        <w:numPr>
          <w:ilvl w:val="0"/>
          <w:numId w:val="37"/>
        </w:numPr>
        <w:snapToGrid w:val="0"/>
        <w:spacing w:after="0" w:line="259" w:lineRule="auto"/>
        <w:ind w:leftChars="0"/>
      </w:pPr>
      <w:r>
        <w:t>Option A</w:t>
      </w:r>
    </w:p>
    <w:p w14:paraId="78EE1F22" w14:textId="77777777" w:rsidR="008D0BF7" w:rsidRDefault="008D0BF7" w:rsidP="008D0BF7">
      <w:pPr>
        <w:pStyle w:val="ListParagraph"/>
        <w:numPr>
          <w:ilvl w:val="1"/>
          <w:numId w:val="37"/>
        </w:numPr>
        <w:snapToGrid w:val="0"/>
        <w:spacing w:after="0" w:line="259" w:lineRule="auto"/>
        <w:ind w:leftChars="0"/>
      </w:pPr>
      <w:r>
        <w:t>A SS can be configured to be within Y consecutive slots within a slot group of X slots; the Y consecutive slots can be located anywhere within the slot group of X slots</w:t>
      </w:r>
    </w:p>
    <w:p w14:paraId="622D4D04" w14:textId="77777777" w:rsidR="008D0BF7" w:rsidRDefault="008D0BF7" w:rsidP="008D0BF7">
      <w:pPr>
        <w:pStyle w:val="ListParagraph"/>
        <w:numPr>
          <w:ilvl w:val="1"/>
          <w:numId w:val="37"/>
        </w:numPr>
        <w:snapToGrid w:val="0"/>
        <w:spacing w:after="0" w:line="259" w:lineRule="auto"/>
        <w:ind w:leftChars="0"/>
      </w:pPr>
      <w:r>
        <w:lastRenderedPageBreak/>
        <w:t>The location of the Y consecutive slots within the slot group of X slots is maintained across different slot groups</w:t>
      </w:r>
    </w:p>
    <w:p w14:paraId="7EF0816B" w14:textId="77777777" w:rsidR="008D0BF7" w:rsidRDefault="008D0BF7" w:rsidP="008D0BF7">
      <w:pPr>
        <w:pStyle w:val="ListParagraph"/>
        <w:numPr>
          <w:ilvl w:val="1"/>
          <w:numId w:val="37"/>
        </w:numPr>
        <w:snapToGrid w:val="0"/>
        <w:spacing w:after="0" w:line="259" w:lineRule="auto"/>
        <w:ind w:leftChars="0"/>
      </w:pPr>
      <w:r>
        <w:t>BD attempts for all SS sets (Group (1) SS and Group (2) SS) are restricted to fall within the same Y consecutive slots</w:t>
      </w:r>
    </w:p>
    <w:p w14:paraId="6BA1E672" w14:textId="77777777" w:rsidR="008D0BF7" w:rsidRDefault="008D0BF7" w:rsidP="008D0BF7">
      <w:pPr>
        <w:pStyle w:val="ListParagraph"/>
        <w:numPr>
          <w:ilvl w:val="0"/>
          <w:numId w:val="37"/>
        </w:numPr>
        <w:snapToGrid w:val="0"/>
        <w:spacing w:after="0" w:line="259" w:lineRule="auto"/>
        <w:ind w:leftChars="0"/>
      </w:pPr>
      <w:r>
        <w:t>Option B</w:t>
      </w:r>
    </w:p>
    <w:p w14:paraId="3D1297EE" w14:textId="77777777" w:rsidR="008D0BF7" w:rsidRDefault="008D0BF7" w:rsidP="008D0BF7">
      <w:pPr>
        <w:pStyle w:val="ListParagraph"/>
        <w:numPr>
          <w:ilvl w:val="1"/>
          <w:numId w:val="37"/>
        </w:numPr>
        <w:snapToGrid w:val="0"/>
        <w:spacing w:after="0" w:line="259" w:lineRule="auto"/>
        <w:ind w:leftChars="0"/>
      </w:pPr>
      <w:r>
        <w:t>For Group (1) SS</w:t>
      </w:r>
    </w:p>
    <w:p w14:paraId="0D5B4A53" w14:textId="77777777" w:rsidR="008D0BF7" w:rsidRDefault="008D0BF7" w:rsidP="008D0BF7">
      <w:pPr>
        <w:pStyle w:val="ListParagraph"/>
        <w:numPr>
          <w:ilvl w:val="2"/>
          <w:numId w:val="37"/>
        </w:numPr>
        <w:snapToGrid w:val="0"/>
        <w:spacing w:after="0" w:line="259" w:lineRule="auto"/>
        <w:ind w:leftChars="0"/>
      </w:pPr>
      <w:r>
        <w:t>A SS can be configured to be within Y consecutive slots within a slot group of X slots</w:t>
      </w:r>
    </w:p>
    <w:p w14:paraId="023F02DC" w14:textId="77777777" w:rsidR="008D0BF7" w:rsidRDefault="008D0BF7" w:rsidP="008D0BF7">
      <w:pPr>
        <w:pStyle w:val="ListParagraph"/>
        <w:numPr>
          <w:ilvl w:val="2"/>
          <w:numId w:val="37"/>
        </w:numPr>
        <w:snapToGrid w:val="0"/>
        <w:spacing w:after="0" w:line="259" w:lineRule="auto"/>
        <w:ind w:leftChars="0"/>
      </w:pPr>
      <w:r>
        <w:t>The Y consecutive slots can be located anywhere within the slot group of X slots</w:t>
      </w:r>
    </w:p>
    <w:p w14:paraId="465D67F2" w14:textId="77777777" w:rsidR="008D0BF7" w:rsidRDefault="008D0BF7" w:rsidP="008D0BF7">
      <w:pPr>
        <w:pStyle w:val="ListParagraph"/>
        <w:numPr>
          <w:ilvl w:val="2"/>
          <w:numId w:val="37"/>
        </w:numPr>
        <w:snapToGrid w:val="0"/>
        <w:spacing w:after="0" w:line="259" w:lineRule="auto"/>
        <w:ind w:leftChars="0"/>
      </w:pPr>
      <w:r>
        <w:t>The location of the Y consecutive slots within the slot group of X slots is maintained across different slot groups</w:t>
      </w:r>
    </w:p>
    <w:p w14:paraId="08698756" w14:textId="77777777" w:rsidR="008D0BF7" w:rsidRDefault="008D0BF7" w:rsidP="008D0BF7">
      <w:pPr>
        <w:pStyle w:val="ListParagraph"/>
        <w:numPr>
          <w:ilvl w:val="2"/>
          <w:numId w:val="37"/>
        </w:numPr>
        <w:snapToGrid w:val="0"/>
        <w:spacing w:after="0" w:line="259" w:lineRule="auto"/>
        <w:ind w:leftChars="0"/>
      </w:pPr>
      <w:r>
        <w:t>BD attempts for all Group (1) SSs are restricted to fall within the same Y consecutive slots</w:t>
      </w:r>
    </w:p>
    <w:p w14:paraId="53799F3F" w14:textId="77777777" w:rsidR="008D0BF7" w:rsidRDefault="008D0BF7" w:rsidP="008D0BF7">
      <w:pPr>
        <w:pStyle w:val="ListParagraph"/>
        <w:numPr>
          <w:ilvl w:val="1"/>
          <w:numId w:val="37"/>
        </w:numPr>
        <w:snapToGrid w:val="0"/>
        <w:spacing w:after="0" w:line="259" w:lineRule="auto"/>
        <w:ind w:leftChars="0"/>
      </w:pPr>
      <w:r>
        <w:t>For Group (2) SS</w:t>
      </w:r>
    </w:p>
    <w:p w14:paraId="7BDF05C8" w14:textId="77777777" w:rsidR="008D0BF7" w:rsidRDefault="008D0BF7" w:rsidP="008D0BF7">
      <w:pPr>
        <w:pStyle w:val="ListParagraph"/>
        <w:numPr>
          <w:ilvl w:val="2"/>
          <w:numId w:val="37"/>
        </w:numPr>
        <w:snapToGrid w:val="0"/>
        <w:spacing w:after="0" w:line="259" w:lineRule="auto"/>
        <w:ind w:leftChars="0"/>
      </w:pPr>
      <w:r>
        <w:t>A SS can be configured to be anywhere within a slot group of X slots</w:t>
      </w:r>
    </w:p>
    <w:p w14:paraId="3F59C2D2" w14:textId="44F722B5" w:rsidR="008D0BF7" w:rsidRDefault="008D0BF7" w:rsidP="00B42DAA">
      <w:pPr>
        <w:tabs>
          <w:tab w:val="left" w:pos="1300"/>
        </w:tabs>
        <w:spacing w:after="0"/>
        <w:jc w:val="both"/>
        <w:rPr>
          <w:lang w:val="en-US"/>
        </w:rPr>
      </w:pPr>
    </w:p>
    <w:p w14:paraId="57FB576A" w14:textId="19DC869C" w:rsidR="008D0BF7" w:rsidRDefault="008D0BF7" w:rsidP="00B42DAA">
      <w:pPr>
        <w:tabs>
          <w:tab w:val="left" w:pos="1300"/>
        </w:tabs>
        <w:spacing w:after="0"/>
        <w:jc w:val="both"/>
        <w:rPr>
          <w:lang w:val="en-US"/>
        </w:rPr>
      </w:pPr>
      <w:r>
        <w:rPr>
          <w:lang w:val="en-US"/>
        </w:rPr>
        <w:t xml:space="preserve">The intention of Option A is to align the monitoring occasions for all the SS, such that the pattern of </w:t>
      </w:r>
      <w:r w:rsidR="00F72998">
        <w:rPr>
          <w:lang w:val="en-US"/>
        </w:rPr>
        <w:t>Y slots within the X-slot group can be maintained, and the UE can save power in the remaining X-Y slots. In contrast, Option B cannot maintain such power saving gain for Group (2) SS.</w:t>
      </w:r>
      <w:r w:rsidR="00E75B7E">
        <w:rPr>
          <w:lang w:val="en-US"/>
        </w:rPr>
        <w:t xml:space="preserve"> Especially, Option B requires a UE to perform back-to-back slot monitoring for PDCCH decoding, which is not beneficial for saving UE’s power when implementing with high SCS like 480 and 960 kHz. </w:t>
      </w:r>
      <w:r w:rsidR="00F72998">
        <w:rPr>
          <w:lang w:val="en-US"/>
        </w:rPr>
        <w:t xml:space="preserve"> </w:t>
      </w:r>
    </w:p>
    <w:p w14:paraId="35A530C2" w14:textId="1D4C47DD" w:rsidR="00F72998" w:rsidRDefault="00F72998" w:rsidP="00B42DAA">
      <w:pPr>
        <w:tabs>
          <w:tab w:val="left" w:pos="1300"/>
        </w:tabs>
        <w:spacing w:after="0"/>
        <w:jc w:val="both"/>
        <w:rPr>
          <w:lang w:val="en-US"/>
        </w:rPr>
      </w:pPr>
    </w:p>
    <w:p w14:paraId="126DA468" w14:textId="60FC4B52" w:rsidR="00F72998" w:rsidRDefault="00F72998" w:rsidP="00B42DAA">
      <w:pPr>
        <w:tabs>
          <w:tab w:val="left" w:pos="1300"/>
        </w:tabs>
        <w:spacing w:after="0"/>
        <w:jc w:val="both"/>
        <w:rPr>
          <w:lang w:val="en-US"/>
        </w:rPr>
      </w:pPr>
      <w:r>
        <w:rPr>
          <w:lang w:val="en-US"/>
        </w:rPr>
        <w:t>Since the power saving gain is closely related to the value of X-Y: the smaller value of Y</w:t>
      </w:r>
      <w:r w:rsidR="00861F60">
        <w:rPr>
          <w:lang w:val="en-US"/>
        </w:rPr>
        <w:t xml:space="preserve">, the higher power saving gain. </w:t>
      </w:r>
      <w:r w:rsidR="00861F60" w:rsidRPr="00F85880">
        <w:rPr>
          <w:rFonts w:eastAsia="MS Mincho" w:cs="Arial"/>
          <w:kern w:val="2"/>
          <w:lang w:val="en-US" w:eastAsia="ja-JP"/>
        </w:rPr>
        <w:t xml:space="preserve">In practice, </w:t>
      </w:r>
      <w:r w:rsidR="00861F60">
        <w:rPr>
          <w:rFonts w:eastAsia="MS Mincho" w:cs="Arial"/>
          <w:kern w:val="2"/>
          <w:lang w:val="en-US" w:eastAsia="ja-JP"/>
        </w:rPr>
        <w:t xml:space="preserve">a </w:t>
      </w:r>
      <w:r w:rsidR="00861F60" w:rsidRPr="00F85880">
        <w:rPr>
          <w:rFonts w:eastAsia="MS Mincho" w:cs="Arial"/>
          <w:kern w:val="2"/>
          <w:lang w:val="en-US" w:eastAsia="ja-JP"/>
        </w:rPr>
        <w:t xml:space="preserve">UE can </w:t>
      </w:r>
      <w:r w:rsidR="00861F60">
        <w:rPr>
          <w:rFonts w:eastAsia="MS Mincho" w:cs="Arial"/>
          <w:kern w:val="2"/>
          <w:lang w:val="en-US" w:eastAsia="ja-JP"/>
        </w:rPr>
        <w:t>support multiple applicable values for</w:t>
      </w:r>
      <w:r w:rsidR="00861F60" w:rsidRPr="00F85880">
        <w:rPr>
          <w:rFonts w:eastAsia="MS Mincho" w:cs="Arial"/>
          <w:kern w:val="2"/>
          <w:lang w:val="en-US" w:eastAsia="ja-JP"/>
        </w:rPr>
        <w:t xml:space="preserve"> combination (X, Y)</w:t>
      </w:r>
      <w:r w:rsidR="00861F60">
        <w:rPr>
          <w:rFonts w:eastAsia="MS Mincho" w:cs="Arial"/>
          <w:kern w:val="2"/>
          <w:lang w:val="en-US" w:eastAsia="ja-JP"/>
        </w:rPr>
        <w:t xml:space="preserve">. To provide full flexibility for configuration of search space sets to a network, multiple combinations of (X, Y) can be supported for </w:t>
      </w:r>
      <w:r w:rsidR="00861F60" w:rsidRPr="00F85880">
        <w:rPr>
          <w:rFonts w:eastAsia="MS Mincho" w:cs="Arial"/>
          <w:kern w:val="2"/>
          <w:lang w:val="en-US" w:eastAsia="ja-JP"/>
        </w:rPr>
        <w:t xml:space="preserve">multi-slot span based PDCCH monitoring </w:t>
      </w:r>
      <w:r w:rsidR="00861F60">
        <w:rPr>
          <w:rFonts w:eastAsia="MS Mincho" w:cs="Arial"/>
          <w:kern w:val="2"/>
          <w:lang w:val="en-US" w:eastAsia="ja-JP"/>
        </w:rPr>
        <w:t>at</w:t>
      </w:r>
      <w:r w:rsidR="00861F60" w:rsidRPr="00F85880">
        <w:rPr>
          <w:rFonts w:eastAsia="MS Mincho" w:cs="Arial"/>
          <w:kern w:val="2"/>
          <w:lang w:val="en-US" w:eastAsia="ja-JP"/>
        </w:rPr>
        <w:t xml:space="preserve"> high SCS, such as 4</w:t>
      </w:r>
      <w:r w:rsidR="00861F60">
        <w:rPr>
          <w:rFonts w:eastAsia="MS Mincho" w:cs="Arial"/>
          <w:kern w:val="2"/>
          <w:lang w:val="en-US" w:eastAsia="ja-JP"/>
        </w:rPr>
        <w:t>8</w:t>
      </w:r>
      <w:r w:rsidR="00861F60" w:rsidRPr="00F85880">
        <w:rPr>
          <w:rFonts w:eastAsia="MS Mincho" w:cs="Arial"/>
          <w:kern w:val="2"/>
          <w:lang w:val="en-US" w:eastAsia="ja-JP"/>
        </w:rPr>
        <w:t>0</w:t>
      </w:r>
      <w:r w:rsidR="00861F60">
        <w:rPr>
          <w:rFonts w:eastAsia="MS Mincho" w:cs="Arial"/>
          <w:kern w:val="2"/>
          <w:lang w:val="en-US" w:eastAsia="ja-JP"/>
        </w:rPr>
        <w:t xml:space="preserve"> k</w:t>
      </w:r>
      <w:r w:rsidR="00861F60" w:rsidRPr="00F85880">
        <w:rPr>
          <w:rFonts w:eastAsia="MS Mincho" w:cs="Arial"/>
          <w:kern w:val="2"/>
          <w:lang w:val="en-US" w:eastAsia="ja-JP"/>
        </w:rPr>
        <w:t>Hz and 960</w:t>
      </w:r>
      <w:r w:rsidR="00861F60">
        <w:rPr>
          <w:rFonts w:eastAsia="MS Mincho" w:cs="Arial"/>
          <w:kern w:val="2"/>
          <w:lang w:val="en-US" w:eastAsia="ja-JP"/>
        </w:rPr>
        <w:t xml:space="preserve"> k</w:t>
      </w:r>
      <w:r w:rsidR="00861F60" w:rsidRPr="00F85880">
        <w:rPr>
          <w:rFonts w:eastAsia="MS Mincho" w:cs="Arial"/>
          <w:kern w:val="2"/>
          <w:lang w:val="en-US" w:eastAsia="ja-JP"/>
        </w:rPr>
        <w:t>Hz</w:t>
      </w:r>
      <w:r w:rsidR="00861F60">
        <w:rPr>
          <w:rFonts w:eastAsia="MS Mincho" w:cs="Arial"/>
          <w:kern w:val="2"/>
          <w:lang w:val="en-US" w:eastAsia="ja-JP"/>
        </w:rPr>
        <w:t>, similar to span-based PDCCH monitoring in Rel-16</w:t>
      </w:r>
      <w:r w:rsidR="00861F60" w:rsidRPr="00F85880">
        <w:rPr>
          <w:rFonts w:eastAsia="MS Mincho" w:cs="Arial"/>
          <w:kern w:val="2"/>
          <w:lang w:val="en-US" w:eastAsia="ja-JP"/>
        </w:rPr>
        <w:t xml:space="preserve">. </w:t>
      </w:r>
      <w:r w:rsidR="00861F60">
        <w:rPr>
          <w:lang w:val="en-US"/>
        </w:rPr>
        <w:t xml:space="preserve">Within the reported values, </w:t>
      </w:r>
      <w:r>
        <w:rPr>
          <w:lang w:val="en-US"/>
        </w:rPr>
        <w:t xml:space="preserve">it would be beneficial to support a small value of Y (e.g. Y=1) as the mandatory UE capability, and support extra value of Y (e.g. Y=X/2) as optional UE capability. </w:t>
      </w:r>
    </w:p>
    <w:p w14:paraId="49E276B5" w14:textId="0FF0E981" w:rsidR="00861F60" w:rsidRDefault="00861F60" w:rsidP="00B42DAA">
      <w:pPr>
        <w:tabs>
          <w:tab w:val="left" w:pos="1300"/>
        </w:tabs>
        <w:spacing w:after="0"/>
        <w:jc w:val="both"/>
        <w:rPr>
          <w:lang w:val="en-US"/>
        </w:rPr>
      </w:pPr>
    </w:p>
    <w:p w14:paraId="6F3DE715" w14:textId="287D079C" w:rsidR="00861F60" w:rsidRDefault="00861F60" w:rsidP="00861F60">
      <w:pPr>
        <w:spacing w:after="0"/>
        <w:jc w:val="both"/>
        <w:rPr>
          <w:rFonts w:eastAsia="MS Mincho" w:cs="Arial"/>
          <w:kern w:val="2"/>
          <w:lang w:val="en-US" w:eastAsia="ja-JP"/>
        </w:rPr>
      </w:pPr>
      <w:r>
        <w:rPr>
          <w:rFonts w:eastAsia="MS Mincho" w:cs="Arial"/>
          <w:kern w:val="2"/>
          <w:lang w:val="en-US" w:eastAsia="ja-JP"/>
        </w:rPr>
        <w:t>A scheduling delay of (X - Y) slots can be large for some cases, such as when X is much larger than Y, or when Y is small, e.g. 1</w:t>
      </w:r>
      <w:r w:rsidRPr="00232C90">
        <w:rPr>
          <w:rFonts w:eastAsia="MS Mincho" w:cs="Arial"/>
          <w:kern w:val="2"/>
          <w:lang w:val="en-US" w:eastAsia="ja-JP"/>
        </w:rPr>
        <w:t xml:space="preserve">. In addition, there </w:t>
      </w:r>
      <w:r>
        <w:rPr>
          <w:rFonts w:eastAsia="MS Mincho" w:cs="Arial"/>
          <w:kern w:val="2"/>
          <w:lang w:val="en-US" w:eastAsia="ja-JP"/>
        </w:rPr>
        <w:t>may</w:t>
      </w:r>
      <w:r w:rsidRPr="00232C90">
        <w:rPr>
          <w:rFonts w:eastAsia="MS Mincho" w:cs="Arial"/>
          <w:kern w:val="2"/>
          <w:lang w:val="en-US" w:eastAsia="ja-JP"/>
        </w:rPr>
        <w:t xml:space="preserve"> be some loss </w:t>
      </w:r>
      <w:r>
        <w:rPr>
          <w:rFonts w:eastAsia="MS Mincho" w:cs="Arial"/>
          <w:kern w:val="2"/>
          <w:lang w:val="en-US" w:eastAsia="ja-JP"/>
        </w:rPr>
        <w:t>in</w:t>
      </w:r>
      <w:r w:rsidRPr="00232C90">
        <w:rPr>
          <w:rFonts w:eastAsia="MS Mincho" w:cs="Arial"/>
          <w:kern w:val="2"/>
          <w:lang w:val="en-US" w:eastAsia="ja-JP"/>
        </w:rPr>
        <w:t xml:space="preserve"> data rate if only single PDSCH/PUSCH scheduling per slot is supported.</w:t>
      </w:r>
      <w:r>
        <w:rPr>
          <w:rFonts w:eastAsia="MS Mincho" w:cs="Arial"/>
          <w:kern w:val="2"/>
          <w:lang w:val="en-US" w:eastAsia="ja-JP"/>
        </w:rPr>
        <w:t xml:space="preserve"> </w:t>
      </w:r>
      <w:r w:rsidRPr="00232C90">
        <w:rPr>
          <w:rFonts w:eastAsia="MS Mincho" w:cs="Arial"/>
          <w:kern w:val="2"/>
          <w:lang w:val="en-US" w:eastAsia="ja-JP"/>
        </w:rPr>
        <w:t xml:space="preserve">To </w:t>
      </w:r>
      <w:r>
        <w:rPr>
          <w:rFonts w:eastAsia="MS Mincho" w:cs="Arial"/>
          <w:kern w:val="2"/>
          <w:lang w:val="en-US" w:eastAsia="ja-JP"/>
        </w:rPr>
        <w:t>overcome</w:t>
      </w:r>
      <w:r w:rsidRPr="00232C90">
        <w:rPr>
          <w:rFonts w:eastAsia="MS Mincho" w:cs="Arial"/>
          <w:kern w:val="2"/>
          <w:lang w:val="en-US" w:eastAsia="ja-JP"/>
        </w:rPr>
        <w:t xml:space="preserve"> th</w:t>
      </w:r>
      <w:r>
        <w:rPr>
          <w:rFonts w:eastAsia="MS Mincho" w:cs="Arial"/>
          <w:kern w:val="2"/>
          <w:lang w:val="en-US" w:eastAsia="ja-JP"/>
        </w:rPr>
        <w:t xml:space="preserve">ose issues, </w:t>
      </w:r>
      <w:r w:rsidRPr="00232C90">
        <w:rPr>
          <w:rFonts w:eastAsia="MS Mincho" w:cs="Arial"/>
          <w:kern w:val="2"/>
          <w:lang w:val="en-US" w:eastAsia="ja-JP"/>
        </w:rPr>
        <w:t>adaptation on</w:t>
      </w:r>
      <w:r>
        <w:rPr>
          <w:rFonts w:eastAsia="MS Mincho" w:cs="Arial"/>
          <w:kern w:val="2"/>
          <w:lang w:val="en-US" w:eastAsia="ja-JP"/>
        </w:rPr>
        <w:t xml:space="preserve"> combination (X, Y)</w:t>
      </w:r>
      <w:r w:rsidRPr="00232C90">
        <w:rPr>
          <w:rFonts w:eastAsia="MS Mincho" w:cs="Arial"/>
          <w:kern w:val="2"/>
          <w:lang w:val="en-US" w:eastAsia="ja-JP"/>
        </w:rPr>
        <w:t xml:space="preserve"> can be considered</w:t>
      </w:r>
      <w:r>
        <w:rPr>
          <w:rFonts w:eastAsia="MS Mincho" w:cs="Arial"/>
          <w:kern w:val="2"/>
          <w:lang w:val="en-US" w:eastAsia="ja-JP"/>
        </w:rPr>
        <w:t xml:space="preserve"> when a UE is capable of supporting multiple combinations (X, Y)</w:t>
      </w:r>
      <w:r w:rsidRPr="00232C90">
        <w:rPr>
          <w:rFonts w:eastAsia="MS Mincho" w:cs="Arial"/>
          <w:kern w:val="2"/>
          <w:lang w:val="en-US" w:eastAsia="ja-JP"/>
        </w:rPr>
        <w:t xml:space="preserve">. For example, </w:t>
      </w:r>
      <w:r>
        <w:rPr>
          <w:rFonts w:eastAsia="MS Mincho" w:cs="Arial"/>
          <w:kern w:val="2"/>
          <w:lang w:val="en-US" w:eastAsia="ja-JP"/>
        </w:rPr>
        <w:t xml:space="preserve">when a </w:t>
      </w:r>
      <w:r w:rsidRPr="00232C90">
        <w:rPr>
          <w:rFonts w:eastAsia="MS Mincho" w:cs="Arial"/>
          <w:kern w:val="2"/>
          <w:lang w:val="en-US" w:eastAsia="ja-JP"/>
        </w:rPr>
        <w:t xml:space="preserve">UE </w:t>
      </w:r>
      <w:r>
        <w:rPr>
          <w:rFonts w:eastAsia="MS Mincho" w:cs="Arial"/>
          <w:kern w:val="2"/>
          <w:lang w:val="en-US" w:eastAsia="ja-JP"/>
        </w:rPr>
        <w:t xml:space="preserve">reports a capability of multiple combinations (X, Y), the UE </w:t>
      </w:r>
      <w:r w:rsidRPr="00232C90">
        <w:rPr>
          <w:rFonts w:eastAsia="MS Mincho" w:cs="Arial"/>
          <w:kern w:val="2"/>
          <w:lang w:val="en-US" w:eastAsia="ja-JP"/>
        </w:rPr>
        <w:t xml:space="preserve">can be indicated </w:t>
      </w:r>
      <w:r>
        <w:rPr>
          <w:rFonts w:eastAsia="MS Mincho" w:cs="Arial"/>
          <w:kern w:val="2"/>
          <w:lang w:val="en-US" w:eastAsia="ja-JP"/>
        </w:rPr>
        <w:t>by the network a selected combination (X, Y) from the multiple combinations. The UE can deactivate or activate some PDCCH monitoring occasions according to the PDCCH configuration limitations for the selected combination (X, Y). The UE can also use a maximum number of PDCCH candidates/non-overlapping CCEs based on the indicated (X, Y).</w:t>
      </w:r>
    </w:p>
    <w:p w14:paraId="5F99BA58" w14:textId="77777777" w:rsidR="00861F60" w:rsidRPr="00232C90" w:rsidRDefault="00861F60" w:rsidP="00861F60">
      <w:pPr>
        <w:spacing w:after="0"/>
        <w:jc w:val="both"/>
        <w:rPr>
          <w:rFonts w:eastAsia="MS Mincho" w:cs="Arial"/>
          <w:kern w:val="2"/>
          <w:lang w:val="en-US" w:eastAsia="ja-JP"/>
        </w:rPr>
      </w:pPr>
    </w:p>
    <w:p w14:paraId="3DF3B6AF" w14:textId="17FC3382" w:rsidR="00F72998" w:rsidRDefault="00861F60" w:rsidP="00B42DAA">
      <w:pPr>
        <w:tabs>
          <w:tab w:val="left" w:pos="1300"/>
        </w:tabs>
        <w:spacing w:after="0"/>
        <w:jc w:val="both"/>
        <w:rPr>
          <w:lang w:val="en-US"/>
        </w:rPr>
      </w:pPr>
      <w:r>
        <w:rPr>
          <w:lang w:val="en-US"/>
        </w:rPr>
        <w:t>Moreover, i</w:t>
      </w:r>
      <w:r w:rsidR="00F72998">
        <w:rPr>
          <w:lang w:val="en-US"/>
        </w:rPr>
        <w:t>n order to support Option A, modification to CSS default configuration (e.g. Type0-PDCCH configuration by MIB)</w:t>
      </w:r>
      <w:r w:rsidR="00E75B7E">
        <w:rPr>
          <w:lang w:val="en-US"/>
        </w:rPr>
        <w:t xml:space="preserve"> is expected, and the simplest way is reducing from monitoring two consecutive slots to a single slot. In Rel-15, monitoring two consecutive slots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oMath>
      <w:r w:rsidR="00840E96">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r>
          <w:rPr>
            <w:rFonts w:ascii="Cambria Math" w:hAnsi="Cambria Math"/>
            <w:lang w:val="en-US"/>
          </w:rPr>
          <m:t>+1</m:t>
        </m:r>
      </m:oMath>
      <w:r w:rsidR="00840E96">
        <w:rPr>
          <w:lang w:val="en-US"/>
        </w:rPr>
        <w:t xml:space="preserve"> is necessary especially for the case of </w:t>
      </w:r>
      <m:oMath>
        <m:r>
          <w:rPr>
            <w:rFonts w:ascii="Cambria Math" w:hAnsi="Cambria Math"/>
            <w:lang w:val="en-US"/>
          </w:rPr>
          <m:t>M=2</m:t>
        </m:r>
      </m:oMath>
      <w:r w:rsidR="00840E96">
        <w:rPr>
          <w:lang w:val="en-US"/>
        </w:rPr>
        <w:t xml:space="preserve">, and may not be essential for </w:t>
      </w:r>
      <m:oMath>
        <m:r>
          <w:rPr>
            <w:rFonts w:ascii="Cambria Math" w:hAnsi="Cambria Math"/>
            <w:lang w:val="en-US"/>
          </w:rPr>
          <m:t>M=1/2</m:t>
        </m:r>
      </m:oMath>
      <w:r w:rsidR="00840E96">
        <w:rPr>
          <w:lang w:val="en-US"/>
        </w:rPr>
        <w:t xml:space="preserve"> or </w:t>
      </w:r>
      <m:oMath>
        <m:r>
          <w:rPr>
            <w:rFonts w:ascii="Cambria Math" w:hAnsi="Cambria Math"/>
            <w:lang w:val="en-US"/>
          </w:rPr>
          <m:t>M=1</m:t>
        </m:r>
      </m:oMath>
      <w:r w:rsidR="00840E96">
        <w:rPr>
          <w:lang w:val="en-US"/>
        </w:rPr>
        <w:t xml:space="preserve">, so one potential way to maintain the flexibility for </w:t>
      </w:r>
      <m:oMath>
        <m:r>
          <w:rPr>
            <w:rFonts w:ascii="Cambria Math" w:hAnsi="Cambria Math"/>
            <w:lang w:val="en-US"/>
          </w:rPr>
          <m:t>M=2</m:t>
        </m:r>
      </m:oMath>
      <w:r w:rsidR="00840E96">
        <w:rPr>
          <w:lang w:val="en-US"/>
        </w:rPr>
        <w:t xml:space="preserve"> is to add the configurability between monitoring slot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oMath>
      <w:r w:rsidR="00840E96">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r>
          <w:rPr>
            <w:rFonts w:ascii="Cambria Math" w:hAnsi="Cambria Math"/>
            <w:lang w:val="en-US"/>
          </w:rPr>
          <m:t>+1</m:t>
        </m:r>
      </m:oMath>
      <w:r w:rsidR="00840E96">
        <w:rPr>
          <w:lang w:val="en-US"/>
        </w:rPr>
        <w:t xml:space="preserve"> for </w:t>
      </w:r>
      <m:oMath>
        <m:r>
          <w:rPr>
            <w:rFonts w:ascii="Cambria Math" w:hAnsi="Cambria Math"/>
            <w:lang w:val="en-US"/>
          </w:rPr>
          <m:t>M=2</m:t>
        </m:r>
      </m:oMath>
      <w:r w:rsidR="00840E96">
        <w:rPr>
          <w:lang w:val="en-US"/>
        </w:rPr>
        <w:t xml:space="preserve">. </w:t>
      </w:r>
    </w:p>
    <w:p w14:paraId="78E35F6E" w14:textId="45D0E4A3" w:rsidR="00840E96" w:rsidRDefault="00840E96" w:rsidP="00B42DAA">
      <w:pPr>
        <w:tabs>
          <w:tab w:val="left" w:pos="1300"/>
        </w:tabs>
        <w:spacing w:after="0"/>
        <w:jc w:val="both"/>
        <w:rPr>
          <w:lang w:val="en-US"/>
        </w:rPr>
      </w:pPr>
    </w:p>
    <w:p w14:paraId="79E02DC8" w14:textId="49A4F1C0" w:rsidR="00840E96" w:rsidRDefault="00840E96" w:rsidP="00B42DAA">
      <w:pPr>
        <w:tabs>
          <w:tab w:val="left" w:pos="1300"/>
        </w:tabs>
        <w:spacing w:after="0"/>
        <w:jc w:val="both"/>
        <w:rPr>
          <w:lang w:val="en-US"/>
        </w:rPr>
      </w:pPr>
      <w:r>
        <w:rPr>
          <w:lang w:val="en-US"/>
        </w:rPr>
        <w:t xml:space="preserve">In the last meeting, potential issue regarding </w:t>
      </w:r>
      <w:r w:rsidR="00B34FFC">
        <w:rPr>
          <w:lang w:val="en-US"/>
        </w:rPr>
        <w:t xml:space="preserve">the alignment between Group (1) SS and Group (2) SS due to UE movement was discussed, but the motivation is still not clear. In connected mode, if a UE moves and decides to switch the SS/PBCH block and the associated Group (2) SS, a beam failure recovery procedure will be triggered first, before the RRC reconfiguration of the Group (1) SS. The beam failure recovery procedure is typically a long delay procedure including </w:t>
      </w:r>
      <w:r w:rsidR="00B34FFC" w:rsidRPr="00B34FFC">
        <w:rPr>
          <w:lang w:val="en-US"/>
        </w:rPr>
        <w:t>beam failure detection, new beam selection, beam failure request transmission (</w:t>
      </w:r>
      <w:r w:rsidR="00B34FFC">
        <w:rPr>
          <w:lang w:val="en-US"/>
        </w:rPr>
        <w:t>e.g. for Rel-</w:t>
      </w:r>
      <w:r w:rsidR="00B34FFC" w:rsidRPr="00B34FFC">
        <w:rPr>
          <w:lang w:val="en-US"/>
        </w:rPr>
        <w:t>15</w:t>
      </w:r>
      <w:r w:rsidR="00B34FFC">
        <w:rPr>
          <w:lang w:val="en-US"/>
        </w:rPr>
        <w:t>, contention free RACH; for Rel-</w:t>
      </w:r>
      <w:r w:rsidR="00B34FFC" w:rsidRPr="00B34FFC">
        <w:rPr>
          <w:lang w:val="en-US"/>
        </w:rPr>
        <w:t>16: transmit PUCCH-SR + receive uplink grant + transmit PUSCH-MAC CE), receive beam failure recovery response, and new beam reset</w:t>
      </w:r>
      <w:r w:rsidR="00B34FFC">
        <w:rPr>
          <w:lang w:val="en-US"/>
        </w:rPr>
        <w:t xml:space="preserve">, wherein the overall delay of BFR can be hundreds of </w:t>
      </w:r>
      <w:proofErr w:type="spellStart"/>
      <w:r w:rsidR="00B34FFC">
        <w:rPr>
          <w:lang w:val="en-US"/>
        </w:rPr>
        <w:t>ms.</w:t>
      </w:r>
      <w:proofErr w:type="spellEnd"/>
      <w:r w:rsidR="00B34FFC">
        <w:rPr>
          <w:lang w:val="en-US"/>
        </w:rPr>
        <w:t xml:space="preserve"> Reconfiguration of RRC, as the follow-up step, may only take tens of </w:t>
      </w:r>
      <w:proofErr w:type="spellStart"/>
      <w:r w:rsidR="00B34FFC">
        <w:rPr>
          <w:lang w:val="en-US"/>
        </w:rPr>
        <w:t>ms</w:t>
      </w:r>
      <w:proofErr w:type="spellEnd"/>
      <w:r w:rsidR="00B34FFC">
        <w:rPr>
          <w:lang w:val="en-US"/>
        </w:rPr>
        <w:t>, so avoiding the reconfiguration of RRC for the Group (1) SS may not be efficient for remarkably reducing the overall latency for switching the beam for Group (2) S</w:t>
      </w:r>
      <w:r w:rsidR="00B10056">
        <w:rPr>
          <w:lang w:val="en-US"/>
        </w:rPr>
        <w:t xml:space="preserve">S. </w:t>
      </w:r>
      <w:r w:rsidR="00B34FFC">
        <w:rPr>
          <w:lang w:val="en-US"/>
        </w:rPr>
        <w:t xml:space="preserve">In this sense, we didn’t a strong motivation to introduce a time offset to align the location of Group (1) SS and Group (2) SS. </w:t>
      </w:r>
    </w:p>
    <w:p w14:paraId="6C60287A" w14:textId="3FFDCC7A" w:rsidR="00B34FFC" w:rsidRDefault="00B34FFC" w:rsidP="00B42DAA">
      <w:pPr>
        <w:tabs>
          <w:tab w:val="left" w:pos="1300"/>
        </w:tabs>
        <w:spacing w:after="0"/>
        <w:jc w:val="both"/>
        <w:rPr>
          <w:lang w:val="en-US"/>
        </w:rPr>
      </w:pPr>
    </w:p>
    <w:p w14:paraId="069A3D6A" w14:textId="547AEB8F" w:rsidR="00B34FFC" w:rsidRDefault="00B34FFC" w:rsidP="00B42DAA">
      <w:pPr>
        <w:tabs>
          <w:tab w:val="left" w:pos="1300"/>
        </w:tabs>
        <w:spacing w:after="0"/>
        <w:jc w:val="both"/>
        <w:rPr>
          <w:lang w:val="en-US"/>
        </w:rPr>
      </w:pPr>
      <w:r>
        <w:rPr>
          <w:lang w:val="en-US"/>
        </w:rPr>
        <w:t xml:space="preserve">Based on above discussion, we have the following proposal for multi-slot PDCCH monitoring: </w:t>
      </w:r>
    </w:p>
    <w:p w14:paraId="0AABB421" w14:textId="782A0E08" w:rsidR="00B34FFC" w:rsidRDefault="00B34FFC" w:rsidP="00B42DAA">
      <w:pPr>
        <w:tabs>
          <w:tab w:val="left" w:pos="1300"/>
        </w:tabs>
        <w:spacing w:after="0"/>
        <w:jc w:val="both"/>
        <w:rPr>
          <w:lang w:val="en-US"/>
        </w:rPr>
      </w:pPr>
    </w:p>
    <w:p w14:paraId="00694405" w14:textId="27FE92CF" w:rsidR="00B34FFC" w:rsidRPr="00861F60" w:rsidRDefault="00B34FFC" w:rsidP="00B42DAA">
      <w:pPr>
        <w:tabs>
          <w:tab w:val="left" w:pos="1300"/>
        </w:tabs>
        <w:spacing w:after="0"/>
        <w:jc w:val="both"/>
        <w:rPr>
          <w:b/>
          <w:u w:val="single"/>
          <w:lang w:val="en-US"/>
        </w:rPr>
      </w:pPr>
      <w:r w:rsidRPr="00861F60">
        <w:rPr>
          <w:b/>
          <w:u w:val="single"/>
          <w:lang w:val="en-US"/>
        </w:rPr>
        <w:t>Proposal 1: Support Option A for multi-slot PDCCH monitoring</w:t>
      </w:r>
      <w:r w:rsidR="00861F60" w:rsidRPr="00861F60">
        <w:rPr>
          <w:b/>
          <w:u w:val="single"/>
          <w:lang w:val="en-US"/>
        </w:rPr>
        <w:t>:</w:t>
      </w:r>
    </w:p>
    <w:p w14:paraId="6C52D9C0" w14:textId="269C6462" w:rsidR="00861F60" w:rsidRPr="00861F60" w:rsidRDefault="00861F60" w:rsidP="00861F60">
      <w:pPr>
        <w:pStyle w:val="ListParagraph"/>
        <w:numPr>
          <w:ilvl w:val="0"/>
          <w:numId w:val="39"/>
        </w:numPr>
        <w:tabs>
          <w:tab w:val="left" w:pos="1300"/>
        </w:tabs>
        <w:spacing w:after="0"/>
        <w:ind w:leftChars="0"/>
        <w:jc w:val="both"/>
        <w:rPr>
          <w:b/>
          <w:u w:val="single"/>
          <w:lang w:val="en-US"/>
        </w:rPr>
      </w:pPr>
      <w:r w:rsidRPr="00861F60">
        <w:rPr>
          <w:b/>
          <w:u w:val="single"/>
          <w:lang w:val="en-US"/>
        </w:rPr>
        <w:t>Y=1 is mandatory, and Y=X/2 is optional;</w:t>
      </w:r>
    </w:p>
    <w:p w14:paraId="55B9ABE1" w14:textId="77777777" w:rsidR="00861F60" w:rsidRPr="00861F60" w:rsidRDefault="00861F60" w:rsidP="00861F60">
      <w:pPr>
        <w:pStyle w:val="ListParagraph"/>
        <w:numPr>
          <w:ilvl w:val="0"/>
          <w:numId w:val="39"/>
        </w:numPr>
        <w:spacing w:after="0"/>
        <w:ind w:leftChars="0"/>
        <w:jc w:val="both"/>
        <w:rPr>
          <w:b/>
          <w:u w:val="single"/>
          <w:lang w:val="en-US" w:eastAsia="ja-JP"/>
        </w:rPr>
      </w:pPr>
      <w:r w:rsidRPr="00861F60">
        <w:rPr>
          <w:b/>
          <w:u w:val="single"/>
          <w:lang w:val="en-US" w:eastAsia="ja-JP"/>
        </w:rPr>
        <w:t>UE only monitors one slot for Type0-PDCCH:</w:t>
      </w:r>
    </w:p>
    <w:p w14:paraId="4F03BAFE" w14:textId="6E1AED0F" w:rsidR="00861F60" w:rsidRPr="00861F60" w:rsidRDefault="00861F60" w:rsidP="00861F60">
      <w:pPr>
        <w:pStyle w:val="ListParagraph"/>
        <w:numPr>
          <w:ilvl w:val="1"/>
          <w:numId w:val="39"/>
        </w:numPr>
        <w:spacing w:after="0"/>
        <w:ind w:leftChars="0"/>
        <w:jc w:val="both"/>
        <w:rPr>
          <w:b/>
          <w:u w:val="single"/>
          <w:lang w:val="en-US"/>
        </w:rPr>
      </w:pPr>
      <w:r w:rsidRPr="00861F60">
        <w:rPr>
          <w:b/>
          <w:u w:val="single"/>
          <w:lang w:val="en-US"/>
        </w:rPr>
        <w:t xml:space="preserve">Alt 1: the one slot is slot </w:t>
      </w:r>
      <m:oMath>
        <m:sSub>
          <m:sSubPr>
            <m:ctrlPr>
              <w:rPr>
                <w:rFonts w:ascii="Cambria Math" w:hAnsi="Cambria Math"/>
                <w:b/>
                <w:i/>
                <w:u w:val="single"/>
                <w:lang w:val="en-US"/>
              </w:rPr>
            </m:ctrlPr>
          </m:sSubPr>
          <m:e>
            <m:r>
              <m:rPr>
                <m:sty m:val="bi"/>
              </m:rPr>
              <w:rPr>
                <w:rFonts w:ascii="Cambria Math" w:hAnsi="Cambria Math"/>
                <w:u w:val="single"/>
                <w:lang w:val="en-US"/>
              </w:rPr>
              <m:t>n</m:t>
            </m:r>
          </m:e>
          <m:sub>
            <m:r>
              <m:rPr>
                <m:sty m:val="bi"/>
              </m:rPr>
              <w:rPr>
                <w:rFonts w:ascii="Cambria Math" w:hAnsi="Cambria Math"/>
                <w:u w:val="single"/>
                <w:lang w:val="en-US"/>
              </w:rPr>
              <m:t>0</m:t>
            </m:r>
          </m:sub>
        </m:sSub>
      </m:oMath>
      <w:r w:rsidRPr="00861F60">
        <w:rPr>
          <w:b/>
          <w:u w:val="single"/>
          <w:lang w:val="en-US"/>
        </w:rPr>
        <w:t xml:space="preserve"> for all cases;</w:t>
      </w:r>
    </w:p>
    <w:p w14:paraId="347E0EF4" w14:textId="34E68DA8" w:rsidR="00861F60" w:rsidRPr="00861F60" w:rsidRDefault="00861F60" w:rsidP="00861F60">
      <w:pPr>
        <w:pStyle w:val="ListParagraph"/>
        <w:numPr>
          <w:ilvl w:val="1"/>
          <w:numId w:val="39"/>
        </w:numPr>
        <w:tabs>
          <w:tab w:val="left" w:pos="1440"/>
        </w:tabs>
        <w:spacing w:after="0"/>
        <w:ind w:leftChars="0"/>
        <w:jc w:val="both"/>
        <w:rPr>
          <w:b/>
          <w:u w:val="single"/>
          <w:lang w:val="en-US"/>
        </w:rPr>
      </w:pPr>
      <w:r w:rsidRPr="00861F60">
        <w:rPr>
          <w:b/>
          <w:u w:val="single"/>
          <w:lang w:val="en-US"/>
        </w:rPr>
        <w:lastRenderedPageBreak/>
        <w:t xml:space="preserve">Alt 2: the one slot is slot </w:t>
      </w:r>
      <m:oMath>
        <m:sSub>
          <m:sSubPr>
            <m:ctrlPr>
              <w:rPr>
                <w:rFonts w:ascii="Cambria Math" w:hAnsi="Cambria Math"/>
                <w:b/>
                <w:i/>
                <w:u w:val="single"/>
                <w:lang w:val="en-US"/>
              </w:rPr>
            </m:ctrlPr>
          </m:sSubPr>
          <m:e>
            <m:r>
              <m:rPr>
                <m:sty m:val="bi"/>
              </m:rPr>
              <w:rPr>
                <w:rFonts w:ascii="Cambria Math" w:hAnsi="Cambria Math"/>
                <w:u w:val="single"/>
                <w:lang w:val="en-US"/>
              </w:rPr>
              <m:t>n</m:t>
            </m:r>
          </m:e>
          <m:sub>
            <m:r>
              <m:rPr>
                <m:sty m:val="bi"/>
              </m:rPr>
              <w:rPr>
                <w:rFonts w:ascii="Cambria Math" w:hAnsi="Cambria Math"/>
                <w:u w:val="single"/>
                <w:lang w:val="en-US"/>
              </w:rPr>
              <m:t>0</m:t>
            </m:r>
          </m:sub>
        </m:sSub>
      </m:oMath>
      <w:r w:rsidRPr="00861F60">
        <w:rPr>
          <w:b/>
          <w:u w:val="single"/>
          <w:lang w:val="en-US"/>
        </w:rPr>
        <w:t xml:space="preserve"> for </w:t>
      </w:r>
      <m:oMath>
        <m:r>
          <m:rPr>
            <m:sty m:val="bi"/>
          </m:rPr>
          <w:rPr>
            <w:rFonts w:ascii="Cambria Math" w:hAnsi="Cambria Math"/>
            <w:u w:val="single"/>
            <w:lang w:val="en-US"/>
          </w:rPr>
          <m:t>M=1</m:t>
        </m:r>
      </m:oMath>
      <w:r w:rsidRPr="00861F60">
        <w:rPr>
          <w:b/>
          <w:u w:val="single"/>
          <w:lang w:val="en-US"/>
        </w:rPr>
        <w:t xml:space="preserve"> and </w:t>
      </w:r>
      <m:oMath>
        <m:r>
          <m:rPr>
            <m:sty m:val="bi"/>
          </m:rPr>
          <w:rPr>
            <w:rFonts w:ascii="Cambria Math" w:hAnsi="Cambria Math"/>
            <w:u w:val="single"/>
            <w:lang w:val="en-US"/>
          </w:rPr>
          <m:t>M=1/2</m:t>
        </m:r>
      </m:oMath>
      <w:r w:rsidRPr="00861F60">
        <w:rPr>
          <w:b/>
          <w:u w:val="single"/>
          <w:lang w:val="en-US"/>
        </w:rPr>
        <w:t xml:space="preserve">, and configurable between slot </w:t>
      </w:r>
      <m:oMath>
        <m:sSub>
          <m:sSubPr>
            <m:ctrlPr>
              <w:rPr>
                <w:rFonts w:ascii="Cambria Math" w:hAnsi="Cambria Math"/>
                <w:b/>
                <w:i/>
                <w:u w:val="single"/>
                <w:lang w:val="en-US"/>
              </w:rPr>
            </m:ctrlPr>
          </m:sSubPr>
          <m:e>
            <m:r>
              <m:rPr>
                <m:sty m:val="bi"/>
              </m:rPr>
              <w:rPr>
                <w:rFonts w:ascii="Cambria Math" w:hAnsi="Cambria Math"/>
                <w:u w:val="single"/>
                <w:lang w:val="en-US"/>
              </w:rPr>
              <m:t>n</m:t>
            </m:r>
          </m:e>
          <m:sub>
            <m:r>
              <m:rPr>
                <m:sty m:val="bi"/>
              </m:rPr>
              <w:rPr>
                <w:rFonts w:ascii="Cambria Math" w:hAnsi="Cambria Math"/>
                <w:u w:val="single"/>
                <w:lang w:val="en-US"/>
              </w:rPr>
              <m:t>0</m:t>
            </m:r>
          </m:sub>
        </m:sSub>
      </m:oMath>
      <w:r w:rsidRPr="00861F60">
        <w:rPr>
          <w:b/>
          <w:u w:val="single"/>
          <w:lang w:val="en-US"/>
        </w:rPr>
        <w:t xml:space="preserve"> and </w:t>
      </w:r>
      <m:oMath>
        <m:sSub>
          <m:sSubPr>
            <m:ctrlPr>
              <w:rPr>
                <w:rFonts w:ascii="Cambria Math" w:hAnsi="Cambria Math"/>
                <w:b/>
                <w:i/>
                <w:u w:val="single"/>
                <w:lang w:val="en-US"/>
              </w:rPr>
            </m:ctrlPr>
          </m:sSubPr>
          <m:e>
            <m:r>
              <m:rPr>
                <m:sty m:val="bi"/>
              </m:rPr>
              <w:rPr>
                <w:rFonts w:ascii="Cambria Math" w:hAnsi="Cambria Math"/>
                <w:u w:val="single"/>
                <w:lang w:val="en-US"/>
              </w:rPr>
              <m:t>n</m:t>
            </m:r>
          </m:e>
          <m:sub>
            <m:r>
              <m:rPr>
                <m:sty m:val="bi"/>
              </m:rPr>
              <w:rPr>
                <w:rFonts w:ascii="Cambria Math" w:hAnsi="Cambria Math"/>
                <w:u w:val="single"/>
                <w:lang w:val="en-US"/>
              </w:rPr>
              <m:t>0</m:t>
            </m:r>
          </m:sub>
        </m:sSub>
        <m:r>
          <m:rPr>
            <m:sty m:val="bi"/>
          </m:rPr>
          <w:rPr>
            <w:rFonts w:ascii="Cambria Math" w:hAnsi="Cambria Math"/>
            <w:u w:val="single"/>
            <w:lang w:val="en-US"/>
          </w:rPr>
          <m:t>+1</m:t>
        </m:r>
      </m:oMath>
      <w:r w:rsidRPr="00861F60">
        <w:rPr>
          <w:b/>
          <w:u w:val="single"/>
          <w:lang w:val="en-US"/>
        </w:rPr>
        <w:t xml:space="preserve"> for </w:t>
      </w:r>
      <m:oMath>
        <m:r>
          <m:rPr>
            <m:sty m:val="bi"/>
          </m:rPr>
          <w:rPr>
            <w:rFonts w:ascii="Cambria Math" w:hAnsi="Cambria Math"/>
            <w:u w:val="single"/>
            <w:lang w:val="en-US"/>
          </w:rPr>
          <m:t>M=2;</m:t>
        </m:r>
      </m:oMath>
    </w:p>
    <w:p w14:paraId="79E31F9A" w14:textId="0BD546C4" w:rsidR="00861F60" w:rsidRDefault="00861F60" w:rsidP="00861F60">
      <w:pPr>
        <w:pStyle w:val="ListParagraph"/>
        <w:numPr>
          <w:ilvl w:val="0"/>
          <w:numId w:val="39"/>
        </w:numPr>
        <w:tabs>
          <w:tab w:val="left" w:pos="1440"/>
        </w:tabs>
        <w:spacing w:after="0"/>
        <w:ind w:leftChars="0"/>
        <w:jc w:val="both"/>
        <w:rPr>
          <w:b/>
          <w:u w:val="single"/>
          <w:lang w:val="en-US"/>
        </w:rPr>
      </w:pPr>
      <w:r w:rsidRPr="00861F60">
        <w:rPr>
          <w:b/>
          <w:u w:val="single"/>
          <w:lang w:val="en-US"/>
        </w:rPr>
        <w:t>No need to introduce the time offset for aligning Group (1) and Group (2) SS.</w:t>
      </w:r>
    </w:p>
    <w:p w14:paraId="100893CA" w14:textId="2F8CCAAB" w:rsidR="00861F60" w:rsidRDefault="00861F60" w:rsidP="00861F60">
      <w:pPr>
        <w:tabs>
          <w:tab w:val="left" w:pos="1440"/>
        </w:tabs>
        <w:spacing w:after="0"/>
        <w:jc w:val="both"/>
        <w:rPr>
          <w:b/>
          <w:u w:val="single"/>
          <w:lang w:val="en-US"/>
        </w:rPr>
      </w:pPr>
    </w:p>
    <w:p w14:paraId="601153A9" w14:textId="27AF65A9" w:rsidR="00861F60" w:rsidRPr="008D0BF7" w:rsidRDefault="00861F60" w:rsidP="00861F60">
      <w:pPr>
        <w:pStyle w:val="Heading2"/>
        <w:keepLines w:val="0"/>
        <w:widowControl w:val="0"/>
        <w:numPr>
          <w:ilvl w:val="1"/>
          <w:numId w:val="38"/>
        </w:numPr>
        <w:tabs>
          <w:tab w:val="num" w:pos="576"/>
        </w:tabs>
        <w:overflowPunct/>
        <w:autoSpaceDE/>
        <w:autoSpaceDN/>
        <w:adjustRightInd/>
        <w:spacing w:before="120" w:line="240" w:lineRule="auto"/>
        <w:ind w:left="576" w:hanging="576"/>
        <w:textAlignment w:val="auto"/>
        <w:rPr>
          <w:sz w:val="28"/>
          <w:lang w:val="en-US"/>
        </w:rPr>
      </w:pPr>
      <w:r>
        <w:rPr>
          <w:sz w:val="28"/>
          <w:lang w:val="en-US"/>
        </w:rPr>
        <w:t>Multi-slot PDCCH monitoring in IDLE mode</w:t>
      </w:r>
    </w:p>
    <w:p w14:paraId="4747BD04" w14:textId="4058650A" w:rsidR="00861F60" w:rsidRDefault="00861F60" w:rsidP="00861F60">
      <w:pPr>
        <w:tabs>
          <w:tab w:val="left" w:pos="1300"/>
        </w:tabs>
        <w:spacing w:after="0"/>
        <w:jc w:val="both"/>
        <w:rPr>
          <w:lang w:val="en-US"/>
        </w:rPr>
      </w:pPr>
      <w:r w:rsidRPr="00861F60">
        <w:rPr>
          <w:lang w:val="en-US"/>
        </w:rPr>
        <w:t xml:space="preserve">No matter </w:t>
      </w:r>
      <w:r>
        <w:rPr>
          <w:lang w:val="en-US"/>
        </w:rPr>
        <w:t xml:space="preserve">which option for UE capability of multi-slot PDCCH monitoring is adopted, the default UE capability can be </w:t>
      </w:r>
      <w:r w:rsidR="00423831">
        <w:rPr>
          <w:lang w:val="en-US"/>
        </w:rPr>
        <w:t xml:space="preserve">utilized for IDLE mode, wherein only Group (2) SS is applicable, and it can save the discussion effort on supporting slot based PDCCH monitoring. </w:t>
      </w:r>
    </w:p>
    <w:p w14:paraId="1A29168A" w14:textId="355260CF" w:rsidR="00423831" w:rsidRDefault="00423831" w:rsidP="00861F60">
      <w:pPr>
        <w:tabs>
          <w:tab w:val="left" w:pos="1300"/>
        </w:tabs>
        <w:spacing w:after="0"/>
        <w:jc w:val="both"/>
        <w:rPr>
          <w:lang w:val="en-US"/>
        </w:rPr>
      </w:pPr>
    </w:p>
    <w:p w14:paraId="7D369354" w14:textId="0CD2C8EA" w:rsidR="00423831" w:rsidRDefault="00423831" w:rsidP="00423831">
      <w:pPr>
        <w:tabs>
          <w:tab w:val="left" w:pos="1300"/>
        </w:tabs>
        <w:spacing w:after="0"/>
        <w:jc w:val="both"/>
        <w:rPr>
          <w:b/>
          <w:u w:val="single"/>
          <w:lang w:val="en-US"/>
        </w:rPr>
      </w:pPr>
      <w:r>
        <w:rPr>
          <w:b/>
          <w:u w:val="single"/>
          <w:lang w:val="en-US"/>
        </w:rPr>
        <w:t>Proposal 2</w:t>
      </w:r>
      <w:r w:rsidRPr="00861F60">
        <w:rPr>
          <w:b/>
          <w:u w:val="single"/>
          <w:lang w:val="en-US"/>
        </w:rPr>
        <w:t xml:space="preserve">: </w:t>
      </w:r>
      <w:r>
        <w:rPr>
          <w:b/>
          <w:u w:val="single"/>
          <w:lang w:val="en-US"/>
        </w:rPr>
        <w:t>For IDLE mode:</w:t>
      </w:r>
    </w:p>
    <w:p w14:paraId="0DD3FCE5" w14:textId="7A98D8A1" w:rsidR="00423831" w:rsidRDefault="00423831" w:rsidP="00423831">
      <w:pPr>
        <w:pStyle w:val="ListParagraph"/>
        <w:numPr>
          <w:ilvl w:val="0"/>
          <w:numId w:val="40"/>
        </w:numPr>
        <w:tabs>
          <w:tab w:val="left" w:pos="1300"/>
        </w:tabs>
        <w:spacing w:after="0"/>
        <w:ind w:leftChars="0"/>
        <w:jc w:val="both"/>
        <w:rPr>
          <w:b/>
          <w:u w:val="single"/>
          <w:lang w:val="en-US"/>
        </w:rPr>
      </w:pPr>
      <w:r w:rsidRPr="00423831">
        <w:rPr>
          <w:b/>
          <w:u w:val="single"/>
          <w:lang w:val="en-US"/>
        </w:rPr>
        <w:t>Support the mandatory UE capability for multi-slot PDCCH monitoring</w:t>
      </w:r>
      <w:r>
        <w:rPr>
          <w:b/>
          <w:u w:val="single"/>
          <w:lang w:val="en-US"/>
        </w:rPr>
        <w:t>;</w:t>
      </w:r>
    </w:p>
    <w:p w14:paraId="54BB89B4" w14:textId="1FD9F770" w:rsidR="00423831" w:rsidRDefault="00423831" w:rsidP="00423831">
      <w:pPr>
        <w:pStyle w:val="ListParagraph"/>
        <w:numPr>
          <w:ilvl w:val="0"/>
          <w:numId w:val="40"/>
        </w:numPr>
        <w:tabs>
          <w:tab w:val="left" w:pos="1300"/>
        </w:tabs>
        <w:spacing w:after="0"/>
        <w:ind w:leftChars="0"/>
        <w:jc w:val="both"/>
        <w:rPr>
          <w:b/>
          <w:u w:val="single"/>
          <w:lang w:val="en-US"/>
        </w:rPr>
      </w:pPr>
      <w:r>
        <w:rPr>
          <w:b/>
          <w:u w:val="single"/>
          <w:lang w:val="en-US"/>
        </w:rPr>
        <w:t>Don’t support slot based PDCCH monitoring.</w:t>
      </w:r>
    </w:p>
    <w:p w14:paraId="07F65450" w14:textId="270A876F" w:rsidR="00423831" w:rsidRDefault="00423831" w:rsidP="00423831">
      <w:pPr>
        <w:tabs>
          <w:tab w:val="left" w:pos="1300"/>
        </w:tabs>
        <w:spacing w:after="0"/>
        <w:jc w:val="both"/>
        <w:rPr>
          <w:b/>
          <w:u w:val="single"/>
          <w:lang w:val="en-US"/>
        </w:rPr>
      </w:pPr>
    </w:p>
    <w:p w14:paraId="7AC3FFE0" w14:textId="26693FF0" w:rsidR="00423831" w:rsidRPr="00423831" w:rsidRDefault="00423831" w:rsidP="00423831">
      <w:pPr>
        <w:pStyle w:val="Heading2"/>
        <w:keepLines w:val="0"/>
        <w:widowControl w:val="0"/>
        <w:numPr>
          <w:ilvl w:val="1"/>
          <w:numId w:val="38"/>
        </w:numPr>
        <w:tabs>
          <w:tab w:val="num" w:pos="576"/>
        </w:tabs>
        <w:overflowPunct/>
        <w:autoSpaceDE/>
        <w:autoSpaceDN/>
        <w:adjustRightInd/>
        <w:spacing w:before="120" w:line="240" w:lineRule="auto"/>
        <w:ind w:left="576" w:hanging="576"/>
        <w:textAlignment w:val="auto"/>
        <w:rPr>
          <w:sz w:val="28"/>
          <w:lang w:val="en-US"/>
        </w:rPr>
      </w:pPr>
      <w:r w:rsidRPr="00423831">
        <w:rPr>
          <w:sz w:val="28"/>
          <w:lang w:val="en-US"/>
        </w:rPr>
        <w:t xml:space="preserve">BD/CCE budgets for multi-slot PDCCH monitoring </w:t>
      </w:r>
    </w:p>
    <w:p w14:paraId="6446784B" w14:textId="471D84E7" w:rsidR="00423831" w:rsidRDefault="00423831" w:rsidP="00D758E6">
      <w:pPr>
        <w:spacing w:after="0"/>
        <w:jc w:val="both"/>
        <w:rPr>
          <w:rFonts w:eastAsia="MS Mincho" w:cs="Arial"/>
          <w:kern w:val="2"/>
          <w:lang w:val="en-US" w:eastAsia="ja-JP"/>
        </w:rPr>
      </w:pPr>
      <w:r w:rsidRPr="00F85880">
        <w:rPr>
          <w:rFonts w:eastAsia="MS Mincho" w:cs="Arial"/>
          <w:kern w:val="2"/>
          <w:lang w:val="en-US" w:eastAsia="ja-JP"/>
        </w:rPr>
        <w:t xml:space="preserve">The limits </w:t>
      </w:r>
      <w:r>
        <w:rPr>
          <w:rFonts w:eastAsia="MS Mincho" w:cs="Arial"/>
          <w:kern w:val="2"/>
          <w:lang w:val="en-US" w:eastAsia="ja-JP"/>
        </w:rPr>
        <w:t xml:space="preserve">for PDCCH candidates/non-overlapping CCEs </w:t>
      </w:r>
      <w:r w:rsidRPr="00F85880">
        <w:rPr>
          <w:rFonts w:eastAsia="MS Mincho" w:cs="Arial"/>
          <w:kern w:val="2"/>
          <w:lang w:val="en-US" w:eastAsia="ja-JP"/>
        </w:rPr>
        <w:t xml:space="preserve">at high SCS can be defined per </w:t>
      </w:r>
      <w:r>
        <w:rPr>
          <w:rFonts w:eastAsia="MS Mincho" w:cs="Arial"/>
          <w:kern w:val="2"/>
          <w:lang w:val="en-US" w:eastAsia="ja-JP"/>
        </w:rPr>
        <w:t>X</w:t>
      </w:r>
      <w:r w:rsidRPr="00F85880">
        <w:rPr>
          <w:rFonts w:eastAsia="MS Mincho" w:cs="Arial"/>
          <w:kern w:val="2"/>
          <w:lang w:val="en-US" w:eastAsia="ja-JP"/>
        </w:rPr>
        <w:t>-slot</w:t>
      </w:r>
      <w:r>
        <w:rPr>
          <w:rFonts w:eastAsia="MS Mincho" w:cs="Arial"/>
          <w:kern w:val="2"/>
          <w:lang w:val="en-US" w:eastAsia="ja-JP"/>
        </w:rPr>
        <w:t xml:space="preserve"> group</w:t>
      </w:r>
      <w:r w:rsidRPr="00F85880">
        <w:rPr>
          <w:rFonts w:eastAsia="MS Mincho" w:cs="Arial"/>
          <w:kern w:val="2"/>
          <w:lang w:val="en-US" w:eastAsia="ja-JP"/>
        </w:rPr>
        <w:t xml:space="preserve"> depending on PDCCH monitoring capabilities. For multi-slot PDCCH monitoring, the limit</w:t>
      </w:r>
      <w:r>
        <w:rPr>
          <w:rFonts w:eastAsia="MS Mincho" w:cs="Arial"/>
          <w:kern w:val="2"/>
          <w:lang w:val="en-US" w:eastAsia="ja-JP"/>
        </w:rPr>
        <w:t xml:space="preserve">s for PDCCH candidates </w:t>
      </w:r>
      <m:oMath>
        <m:sSubSup>
          <m:sSubSupPr>
            <m:ctrlPr>
              <w:rPr>
                <w:rFonts w:ascii="Cambria Math" w:eastAsia="MS Mincho" w:hAnsi="Cambria Math" w:cs="Arial"/>
                <w:kern w:val="2"/>
                <w:lang w:val="en-US" w:eastAsia="ja-JP"/>
              </w:rPr>
            </m:ctrlPr>
          </m:sSubSupPr>
          <m:e>
            <m:r>
              <w:rPr>
                <w:rFonts w:ascii="Cambria Math" w:eastAsia="MS Mincho" w:hAnsi="Cambria Math" w:cs="Arial"/>
                <w:kern w:val="2"/>
                <w:lang w:val="en-US" w:eastAsia="ja-JP"/>
              </w:rPr>
              <m:t>M</m:t>
            </m:r>
          </m:e>
          <m:sub>
            <m:r>
              <w:rPr>
                <w:rFonts w:ascii="Cambria Math" w:eastAsia="MS Mincho" w:hAnsi="Cambria Math" w:cs="Arial"/>
                <w:kern w:val="2"/>
                <w:lang w:val="en-US" w:eastAsia="ja-JP"/>
              </w:rPr>
              <m:t>PDCCH</m:t>
            </m:r>
          </m:sub>
          <m:sup>
            <m:r>
              <w:rPr>
                <w:rFonts w:ascii="Cambria Math" w:eastAsia="MS Mincho" w:hAnsi="Cambria Math" w:cs="Arial"/>
                <w:kern w:val="2"/>
                <w:lang w:val="en-US" w:eastAsia="ja-JP"/>
              </w:rPr>
              <m:t>max</m:t>
            </m:r>
            <m:r>
              <m:rPr>
                <m:sty m:val="p"/>
              </m:rPr>
              <w:rPr>
                <w:rFonts w:ascii="Cambria Math" w:eastAsia="MS Mincho" w:hAnsi="Cambria Math" w:cs="Arial"/>
                <w:kern w:val="2"/>
                <w:lang w:val="en-US" w:eastAsia="ja-JP"/>
              </w:rPr>
              <m:t>,(</m:t>
            </m:r>
            <m:r>
              <w:rPr>
                <w:rFonts w:ascii="Cambria Math" w:eastAsia="MS Mincho" w:hAnsi="Cambria Math" w:cs="Arial"/>
                <w:kern w:val="2"/>
                <w:lang w:val="en-US" w:eastAsia="ja-JP"/>
              </w:rPr>
              <m:t>X</m:t>
            </m:r>
            <m:r>
              <m:rPr>
                <m:sty m:val="p"/>
              </m:rPr>
              <w:rPr>
                <w:rFonts w:ascii="Cambria Math" w:eastAsia="MS Mincho" w:hAnsi="Cambria Math" w:cs="Arial"/>
                <w:kern w:val="2"/>
                <w:lang w:val="en-US" w:eastAsia="ja-JP"/>
              </w:rPr>
              <m:t>,</m:t>
            </m:r>
            <m:r>
              <w:rPr>
                <w:rFonts w:ascii="Cambria Math" w:eastAsia="MS Mincho" w:hAnsi="Cambria Math" w:cs="Arial"/>
                <w:kern w:val="2"/>
                <w:lang w:val="en-US" w:eastAsia="ja-JP"/>
              </w:rPr>
              <m:t>Y</m:t>
            </m:r>
            <m:r>
              <m:rPr>
                <m:sty m:val="p"/>
              </m:rPr>
              <w:rPr>
                <w:rFonts w:ascii="Cambria Math" w:eastAsia="MS Mincho" w:hAnsi="Cambria Math" w:cs="Arial"/>
                <w:kern w:val="2"/>
                <w:lang w:val="en-US" w:eastAsia="ja-JP"/>
              </w:rPr>
              <m:t>), </m:t>
            </m:r>
            <m:r>
              <w:rPr>
                <w:rFonts w:ascii="Cambria Math" w:eastAsia="MS Mincho" w:hAnsi="Cambria Math" w:cs="Arial"/>
                <w:kern w:val="2"/>
                <w:lang w:val="en-US" w:eastAsia="ja-JP"/>
              </w:rPr>
              <m:t>μ</m:t>
            </m:r>
          </m:sup>
        </m:sSubSup>
        <m:r>
          <m:rPr>
            <m:sty m:val="p"/>
          </m:rPr>
          <w:rPr>
            <w:rFonts w:ascii="Cambria Math" w:eastAsia="MS Mincho" w:hAnsi="Cambria Math" w:cs="Arial"/>
            <w:kern w:val="2"/>
            <w:lang w:val="en-US" w:eastAsia="ja-JP"/>
          </w:rPr>
          <m:t xml:space="preserve"> </m:t>
        </m:r>
      </m:oMath>
      <w:r w:rsidRPr="00F85880">
        <w:rPr>
          <w:rFonts w:eastAsia="MS Mincho" w:cs="Arial"/>
          <w:kern w:val="2"/>
          <w:lang w:val="en-US" w:eastAsia="ja-JP"/>
        </w:rPr>
        <w:t xml:space="preserve">and </w:t>
      </w:r>
      <w:r>
        <w:rPr>
          <w:rFonts w:eastAsia="MS Mincho" w:cs="Arial"/>
          <w:kern w:val="2"/>
          <w:lang w:val="en-US" w:eastAsia="ja-JP"/>
        </w:rPr>
        <w:t xml:space="preserve">non-overlapping CCEs </w:t>
      </w:r>
      <m:oMath>
        <m:sSubSup>
          <m:sSubSupPr>
            <m:ctrlPr>
              <w:rPr>
                <w:rFonts w:ascii="Cambria Math" w:eastAsia="MS Mincho" w:hAnsi="Cambria Math" w:cs="Arial"/>
                <w:kern w:val="2"/>
                <w:lang w:val="en-US" w:eastAsia="ja-JP"/>
              </w:rPr>
            </m:ctrlPr>
          </m:sSubSupPr>
          <m:e>
            <m:r>
              <w:rPr>
                <w:rFonts w:ascii="Cambria Math" w:eastAsia="MS Mincho" w:hAnsi="Cambria Math" w:cs="Arial"/>
                <w:kern w:val="2"/>
                <w:lang w:val="en-US" w:eastAsia="ja-JP"/>
              </w:rPr>
              <m:t>C</m:t>
            </m:r>
          </m:e>
          <m:sub>
            <m:r>
              <w:rPr>
                <w:rFonts w:ascii="Cambria Math" w:eastAsia="MS Mincho" w:hAnsi="Cambria Math" w:cs="Arial"/>
                <w:kern w:val="2"/>
                <w:lang w:val="en-US" w:eastAsia="ja-JP"/>
              </w:rPr>
              <m:t>PDCCH</m:t>
            </m:r>
          </m:sub>
          <m:sup>
            <m:r>
              <w:rPr>
                <w:rFonts w:ascii="Cambria Math" w:eastAsia="MS Mincho" w:hAnsi="Cambria Math" w:cs="Arial"/>
                <w:kern w:val="2"/>
                <w:lang w:val="en-US" w:eastAsia="ja-JP"/>
              </w:rPr>
              <m:t>max</m:t>
            </m:r>
            <m:r>
              <m:rPr>
                <m:sty m:val="p"/>
              </m:rPr>
              <w:rPr>
                <w:rFonts w:ascii="Cambria Math" w:eastAsia="MS Mincho" w:hAnsi="Cambria Math" w:cs="Arial"/>
                <w:kern w:val="2"/>
                <w:lang w:val="en-US" w:eastAsia="ja-JP"/>
              </w:rPr>
              <m:t>,(</m:t>
            </m:r>
            <m:r>
              <w:rPr>
                <w:rFonts w:ascii="Cambria Math" w:eastAsia="MS Mincho" w:hAnsi="Cambria Math" w:cs="Arial"/>
                <w:kern w:val="2"/>
                <w:lang w:val="en-US" w:eastAsia="ja-JP"/>
              </w:rPr>
              <m:t>X</m:t>
            </m:r>
            <m:r>
              <m:rPr>
                <m:sty m:val="p"/>
              </m:rPr>
              <w:rPr>
                <w:rFonts w:ascii="Cambria Math" w:eastAsia="MS Mincho" w:hAnsi="Cambria Math" w:cs="Arial"/>
                <w:kern w:val="2"/>
                <w:lang w:val="en-US" w:eastAsia="ja-JP"/>
              </w:rPr>
              <m:t>,</m:t>
            </m:r>
            <m:r>
              <w:rPr>
                <w:rFonts w:ascii="Cambria Math" w:eastAsia="MS Mincho" w:hAnsi="Cambria Math" w:cs="Arial"/>
                <w:kern w:val="2"/>
                <w:lang w:val="en-US" w:eastAsia="ja-JP"/>
              </w:rPr>
              <m:t>Y</m:t>
            </m:r>
            <m:r>
              <m:rPr>
                <m:sty m:val="p"/>
              </m:rPr>
              <w:rPr>
                <w:rFonts w:ascii="Cambria Math" w:eastAsia="MS Mincho" w:hAnsi="Cambria Math" w:cs="Arial"/>
                <w:kern w:val="2"/>
                <w:lang w:val="en-US" w:eastAsia="ja-JP"/>
              </w:rPr>
              <m:t>), </m:t>
            </m:r>
            <m:r>
              <w:rPr>
                <w:rFonts w:ascii="Cambria Math" w:eastAsia="MS Mincho" w:hAnsi="Cambria Math" w:cs="Arial"/>
                <w:kern w:val="2"/>
                <w:lang w:val="en-US" w:eastAsia="ja-JP"/>
              </w:rPr>
              <m:t>μ</m:t>
            </m:r>
          </m:sup>
        </m:sSubSup>
      </m:oMath>
      <w:r>
        <w:rPr>
          <w:rFonts w:eastAsia="MS Mincho" w:cs="Arial"/>
          <w:kern w:val="2"/>
          <w:lang w:val="en-US" w:eastAsia="ja-JP"/>
        </w:rPr>
        <w:t xml:space="preserve"> can be defined per combination of (X, Y), s</w:t>
      </w:r>
      <w:proofErr w:type="spellStart"/>
      <w:r w:rsidRPr="00F85880">
        <w:rPr>
          <w:rFonts w:eastAsia="MS Mincho" w:cs="Arial"/>
          <w:kern w:val="2"/>
          <w:lang w:val="en-US" w:eastAsia="ja-JP"/>
        </w:rPr>
        <w:t>imilar</w:t>
      </w:r>
      <w:proofErr w:type="spellEnd"/>
      <w:r w:rsidRPr="00F85880">
        <w:rPr>
          <w:rFonts w:eastAsia="MS Mincho" w:cs="Arial"/>
          <w:kern w:val="2"/>
          <w:lang w:val="en-US" w:eastAsia="ja-JP"/>
        </w:rPr>
        <w:t xml:space="preserve"> </w:t>
      </w:r>
      <w:r>
        <w:rPr>
          <w:rFonts w:eastAsia="MS Mincho" w:cs="Arial"/>
          <w:kern w:val="2"/>
          <w:lang w:val="en-US" w:eastAsia="ja-JP"/>
        </w:rPr>
        <w:t>to</w:t>
      </w:r>
      <w:r w:rsidRPr="00F85880">
        <w:rPr>
          <w:rFonts w:eastAsia="MS Mincho" w:cs="Arial"/>
          <w:kern w:val="2"/>
          <w:lang w:val="en-US" w:eastAsia="ja-JP"/>
        </w:rPr>
        <w:t xml:space="preserve"> multi-symbol span based PDCCH monitoring in NR Rel-16. </w:t>
      </w:r>
      <w:r>
        <w:rPr>
          <w:rFonts w:eastAsia="MS Mincho" w:cs="Arial"/>
          <w:kern w:val="2"/>
          <w:lang w:val="en-US" w:eastAsia="ja-JP"/>
        </w:rPr>
        <w:t xml:space="preserve">If X is much larger than Y, e.g. X </w:t>
      </w:r>
      <w:r>
        <w:rPr>
          <w:rFonts w:eastAsia="MS Mincho"/>
          <w:kern w:val="2"/>
          <w:lang w:val="en-US" w:eastAsia="ja-JP"/>
        </w:rPr>
        <w:t xml:space="preserve">≥ </w:t>
      </w:r>
      <w:r>
        <w:rPr>
          <w:rFonts w:eastAsia="MS Mincho" w:cs="Arial"/>
          <w:kern w:val="2"/>
          <w:lang w:val="en-US" w:eastAsia="ja-JP"/>
        </w:rPr>
        <w:t xml:space="preserve">2Y, UE should have sufficient time to process the PDCCH decoding located within the Y slots, and in such case, Y may not be essential for determining the values of </w:t>
      </w:r>
      <m:oMath>
        <m:sSubSup>
          <m:sSubSupPr>
            <m:ctrlPr>
              <w:rPr>
                <w:rFonts w:ascii="Cambria Math" w:eastAsia="MS Mincho" w:hAnsi="Cambria Math" w:cs="Arial"/>
                <w:kern w:val="2"/>
                <w:lang w:val="en-US" w:eastAsia="ja-JP"/>
              </w:rPr>
            </m:ctrlPr>
          </m:sSubSupPr>
          <m:e>
            <m:r>
              <w:rPr>
                <w:rFonts w:ascii="Cambria Math" w:eastAsia="MS Mincho" w:hAnsi="Cambria Math" w:cs="Arial"/>
                <w:kern w:val="2"/>
                <w:lang w:val="en-US" w:eastAsia="ja-JP"/>
              </w:rPr>
              <m:t>M</m:t>
            </m:r>
          </m:e>
          <m:sub>
            <m:r>
              <w:rPr>
                <w:rFonts w:ascii="Cambria Math" w:eastAsia="MS Mincho" w:hAnsi="Cambria Math" w:cs="Arial"/>
                <w:kern w:val="2"/>
                <w:lang w:val="en-US" w:eastAsia="ja-JP"/>
              </w:rPr>
              <m:t>PDCCH</m:t>
            </m:r>
          </m:sub>
          <m:sup>
            <m:r>
              <w:rPr>
                <w:rFonts w:ascii="Cambria Math" w:eastAsia="MS Mincho" w:hAnsi="Cambria Math" w:cs="Arial"/>
                <w:kern w:val="2"/>
                <w:lang w:val="en-US" w:eastAsia="ja-JP"/>
              </w:rPr>
              <m:t>max</m:t>
            </m:r>
            <m:r>
              <m:rPr>
                <m:sty m:val="p"/>
              </m:rPr>
              <w:rPr>
                <w:rFonts w:ascii="Cambria Math" w:eastAsia="MS Mincho" w:hAnsi="Cambria Math" w:cs="Arial"/>
                <w:kern w:val="2"/>
                <w:lang w:val="en-US" w:eastAsia="ja-JP"/>
              </w:rPr>
              <m:t>,(</m:t>
            </m:r>
            <m:r>
              <w:rPr>
                <w:rFonts w:ascii="Cambria Math" w:eastAsia="MS Mincho" w:hAnsi="Cambria Math" w:cs="Arial"/>
                <w:kern w:val="2"/>
                <w:lang w:val="en-US" w:eastAsia="ja-JP"/>
              </w:rPr>
              <m:t>X</m:t>
            </m:r>
            <m:r>
              <m:rPr>
                <m:sty m:val="p"/>
              </m:rPr>
              <w:rPr>
                <w:rFonts w:ascii="Cambria Math" w:eastAsia="MS Mincho" w:hAnsi="Cambria Math" w:cs="Arial"/>
                <w:kern w:val="2"/>
                <w:lang w:val="en-US" w:eastAsia="ja-JP"/>
              </w:rPr>
              <m:t>,</m:t>
            </m:r>
            <m:r>
              <w:rPr>
                <w:rFonts w:ascii="Cambria Math" w:eastAsia="MS Mincho" w:hAnsi="Cambria Math" w:cs="Arial"/>
                <w:kern w:val="2"/>
                <w:lang w:val="en-US" w:eastAsia="ja-JP"/>
              </w:rPr>
              <m:t>Y</m:t>
            </m:r>
            <m:r>
              <m:rPr>
                <m:sty m:val="p"/>
              </m:rPr>
              <w:rPr>
                <w:rFonts w:ascii="Cambria Math" w:eastAsia="MS Mincho" w:hAnsi="Cambria Math" w:cs="Arial"/>
                <w:kern w:val="2"/>
                <w:lang w:val="en-US" w:eastAsia="ja-JP"/>
              </w:rPr>
              <m:t>), </m:t>
            </m:r>
            <m:r>
              <w:rPr>
                <w:rFonts w:ascii="Cambria Math" w:eastAsia="MS Mincho" w:hAnsi="Cambria Math" w:cs="Arial"/>
                <w:kern w:val="2"/>
                <w:lang w:val="en-US" w:eastAsia="ja-JP"/>
              </w:rPr>
              <m:t>μ</m:t>
            </m:r>
          </m:sup>
        </m:sSubSup>
        <m:r>
          <m:rPr>
            <m:sty m:val="p"/>
          </m:rPr>
          <w:rPr>
            <w:rFonts w:ascii="Cambria Math" w:eastAsia="MS Mincho" w:hAnsi="Cambria Math" w:cs="Arial"/>
            <w:kern w:val="2"/>
            <w:lang w:val="en-US" w:eastAsia="ja-JP"/>
          </w:rPr>
          <m:t xml:space="preserve"> </m:t>
        </m:r>
      </m:oMath>
      <w:r>
        <w:rPr>
          <w:rFonts w:eastAsia="MS Mincho" w:cs="Arial"/>
          <w:kern w:val="2"/>
          <w:lang w:val="en-US" w:eastAsia="ja-JP"/>
        </w:rPr>
        <w:t xml:space="preserve">and </w:t>
      </w:r>
      <m:oMath>
        <m:sSubSup>
          <m:sSubSupPr>
            <m:ctrlPr>
              <w:rPr>
                <w:rFonts w:ascii="Cambria Math" w:eastAsia="MS Mincho" w:hAnsi="Cambria Math" w:cs="Arial"/>
                <w:kern w:val="2"/>
                <w:lang w:val="en-US" w:eastAsia="ja-JP"/>
              </w:rPr>
            </m:ctrlPr>
          </m:sSubSupPr>
          <m:e>
            <m:r>
              <w:rPr>
                <w:rFonts w:ascii="Cambria Math" w:eastAsia="MS Mincho" w:hAnsi="Cambria Math" w:cs="Arial"/>
                <w:kern w:val="2"/>
                <w:lang w:val="en-US" w:eastAsia="ja-JP"/>
              </w:rPr>
              <m:t>C</m:t>
            </m:r>
          </m:e>
          <m:sub>
            <m:r>
              <w:rPr>
                <w:rFonts w:ascii="Cambria Math" w:eastAsia="MS Mincho" w:hAnsi="Cambria Math" w:cs="Arial"/>
                <w:kern w:val="2"/>
                <w:lang w:val="en-US" w:eastAsia="ja-JP"/>
              </w:rPr>
              <m:t>PDCCH</m:t>
            </m:r>
          </m:sub>
          <m:sup>
            <m:r>
              <w:rPr>
                <w:rFonts w:ascii="Cambria Math" w:eastAsia="MS Mincho" w:hAnsi="Cambria Math" w:cs="Arial"/>
                <w:kern w:val="2"/>
                <w:lang w:val="en-US" w:eastAsia="ja-JP"/>
              </w:rPr>
              <m:t>max</m:t>
            </m:r>
            <m:r>
              <m:rPr>
                <m:sty m:val="p"/>
              </m:rPr>
              <w:rPr>
                <w:rFonts w:ascii="Cambria Math" w:eastAsia="MS Mincho" w:hAnsi="Cambria Math" w:cs="Arial"/>
                <w:kern w:val="2"/>
                <w:lang w:val="en-US" w:eastAsia="ja-JP"/>
              </w:rPr>
              <m:t>,(</m:t>
            </m:r>
            <m:r>
              <w:rPr>
                <w:rFonts w:ascii="Cambria Math" w:eastAsia="MS Mincho" w:hAnsi="Cambria Math" w:cs="Arial"/>
                <w:kern w:val="2"/>
                <w:lang w:val="en-US" w:eastAsia="ja-JP"/>
              </w:rPr>
              <m:t>X</m:t>
            </m:r>
            <m:r>
              <m:rPr>
                <m:sty m:val="p"/>
              </m:rPr>
              <w:rPr>
                <w:rFonts w:ascii="Cambria Math" w:eastAsia="MS Mincho" w:hAnsi="Cambria Math" w:cs="Arial"/>
                <w:kern w:val="2"/>
                <w:lang w:val="en-US" w:eastAsia="ja-JP"/>
              </w:rPr>
              <m:t>,</m:t>
            </m:r>
            <m:r>
              <w:rPr>
                <w:rFonts w:ascii="Cambria Math" w:eastAsia="MS Mincho" w:hAnsi="Cambria Math" w:cs="Arial"/>
                <w:kern w:val="2"/>
                <w:lang w:val="en-US" w:eastAsia="ja-JP"/>
              </w:rPr>
              <m:t>Y</m:t>
            </m:r>
            <m:r>
              <m:rPr>
                <m:sty m:val="p"/>
              </m:rPr>
              <w:rPr>
                <w:rFonts w:ascii="Cambria Math" w:eastAsia="MS Mincho" w:hAnsi="Cambria Math" w:cs="Arial"/>
                <w:kern w:val="2"/>
                <w:lang w:val="en-US" w:eastAsia="ja-JP"/>
              </w:rPr>
              <m:t>), </m:t>
            </m:r>
            <m:r>
              <w:rPr>
                <w:rFonts w:ascii="Cambria Math" w:eastAsia="MS Mincho" w:hAnsi="Cambria Math" w:cs="Arial"/>
                <w:kern w:val="2"/>
                <w:lang w:val="en-US" w:eastAsia="ja-JP"/>
              </w:rPr>
              <m:t>μ</m:t>
            </m:r>
          </m:sup>
        </m:sSubSup>
      </m:oMath>
      <w:r>
        <w:rPr>
          <w:rFonts w:eastAsia="MS Mincho" w:cs="Arial"/>
          <w:kern w:val="2"/>
          <w:lang w:val="en-US" w:eastAsia="ja-JP"/>
        </w:rPr>
        <w:t xml:space="preserve">, and only X can contribute to determining the values. One simple way of determining such values is reusing the corresponding values for slot based PDCCH monitoring in 120 kHz SCS. </w:t>
      </w:r>
    </w:p>
    <w:p w14:paraId="52807EB7" w14:textId="77777777" w:rsidR="00D758E6" w:rsidRPr="00F85880" w:rsidRDefault="00D758E6" w:rsidP="00D758E6">
      <w:pPr>
        <w:spacing w:after="0"/>
        <w:jc w:val="both"/>
        <w:rPr>
          <w:rFonts w:eastAsia="MS Mincho" w:cs="Arial"/>
          <w:kern w:val="2"/>
          <w:lang w:val="en-US" w:eastAsia="ja-JP"/>
        </w:rPr>
      </w:pPr>
    </w:p>
    <w:p w14:paraId="543A0C86" w14:textId="00AA30A0" w:rsidR="00423831" w:rsidRDefault="00423831" w:rsidP="00423831">
      <w:pPr>
        <w:jc w:val="both"/>
        <w:rPr>
          <w:b/>
          <w:iCs/>
          <w:u w:val="single"/>
        </w:rPr>
      </w:pPr>
      <w:r w:rsidRPr="00232C90">
        <w:rPr>
          <w:b/>
          <w:u w:val="single"/>
        </w:rPr>
        <w:t xml:space="preserve">Proposal </w:t>
      </w:r>
      <w:r>
        <w:rPr>
          <w:b/>
          <w:u w:val="single"/>
        </w:rPr>
        <w:t>3</w:t>
      </w:r>
      <w:r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Pr="00232C90">
        <w:rPr>
          <w:b/>
          <w:u w:val="single"/>
        </w:rPr>
        <w:t xml:space="preserve"> of PDCCH candidates</w:t>
      </w:r>
      <w:r>
        <w:rPr>
          <w:b/>
          <w:u w:val="single"/>
        </w:rPr>
        <w:t xml:space="preserve">, and </w:t>
      </w:r>
      <w:r w:rsidRPr="00232C90">
        <w:rPr>
          <w:b/>
          <w:u w:val="single"/>
        </w:rPr>
        <w:t xml:space="preserve">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Pr="00232C90">
        <w:rPr>
          <w:b/>
          <w:u w:val="single"/>
        </w:rPr>
        <w:t>of non-overlapped CCEs</w:t>
      </w:r>
      <w:r>
        <w:rPr>
          <w:b/>
          <w:u w:val="single"/>
        </w:rPr>
        <w:t>,</w:t>
      </w:r>
      <w:r w:rsidRPr="00232C90">
        <w:rPr>
          <w:b/>
          <w:u w:val="single"/>
        </w:rPr>
        <w:t xml:space="preserve"> per </w:t>
      </w:r>
      <w:r w:rsidR="00573A3A">
        <w:rPr>
          <w:b/>
          <w:u w:val="single"/>
        </w:rPr>
        <w:t>X</w:t>
      </w:r>
      <w:r w:rsidRPr="00232C90">
        <w:rPr>
          <w:b/>
          <w:u w:val="single"/>
        </w:rPr>
        <w:t xml:space="preserve">-slot </w:t>
      </w:r>
      <w:r w:rsidR="00573A3A">
        <w:rPr>
          <w:b/>
          <w:u w:val="single"/>
        </w:rPr>
        <w:t>group</w:t>
      </w:r>
      <w:r w:rsidRPr="00232C90">
        <w:rPr>
          <w:b/>
          <w:u w:val="single"/>
        </w:rPr>
        <w:t xml:space="preserve"> for </w:t>
      </w:r>
      <w:r w:rsidR="00573A3A">
        <w:rPr>
          <w:b/>
          <w:u w:val="single"/>
        </w:rPr>
        <w:t xml:space="preserve">each </w:t>
      </w:r>
      <w:r w:rsidRPr="00232C90">
        <w:rPr>
          <w:b/>
          <w:u w:val="single"/>
        </w:rPr>
        <w:t>combination (X, Y)</w:t>
      </w:r>
      <w:r w:rsidR="00573A3A">
        <w:rPr>
          <w:b/>
          <w:u w:val="single"/>
        </w:rPr>
        <w:t>.</w:t>
      </w:r>
    </w:p>
    <w:p w14:paraId="4CFAF82E" w14:textId="2FAF7A4D" w:rsidR="00573A3A" w:rsidRPr="00573A3A" w:rsidRDefault="00573A3A" w:rsidP="00573A3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to</w:t>
      </w:r>
      <w:r w:rsidRPr="00573A3A">
        <w:rPr>
          <w:szCs w:val="20"/>
          <w:lang w:val="en-US"/>
        </w:rPr>
        <w:t xml:space="preserve"> </w:t>
      </w:r>
      <w:r>
        <w:rPr>
          <w:szCs w:val="20"/>
          <w:lang w:val="en-US"/>
        </w:rPr>
        <w:t>Search Spacing Set C</w:t>
      </w:r>
      <w:r w:rsidRPr="00573A3A">
        <w:rPr>
          <w:szCs w:val="20"/>
          <w:lang w:val="en-US"/>
        </w:rPr>
        <w:t>onfigurations</w:t>
      </w:r>
    </w:p>
    <w:p w14:paraId="79117BB5" w14:textId="77777777" w:rsidR="00573A3A" w:rsidRPr="00573A3A" w:rsidRDefault="00573A3A" w:rsidP="00573A3A">
      <w:pPr>
        <w:pStyle w:val="ListParagraph"/>
        <w:keepNext/>
        <w:widowControl w:val="0"/>
        <w:numPr>
          <w:ilvl w:val="0"/>
          <w:numId w:val="38"/>
        </w:numPr>
        <w:spacing w:before="120" w:after="120"/>
        <w:ind w:leftChars="0"/>
        <w:outlineLvl w:val="1"/>
        <w:rPr>
          <w:rFonts w:ascii="Arial" w:eastAsia="Batang" w:hAnsi="Arial"/>
          <w:vanish/>
          <w:sz w:val="28"/>
          <w:szCs w:val="32"/>
          <w:lang w:val="en-US"/>
        </w:rPr>
      </w:pPr>
    </w:p>
    <w:p w14:paraId="7BD8F5E4" w14:textId="77777777" w:rsidR="00D758E6" w:rsidRDefault="00573A3A" w:rsidP="00D758E6">
      <w:pPr>
        <w:spacing w:after="0"/>
        <w:jc w:val="both"/>
      </w:pPr>
      <w:r>
        <w:rPr>
          <w:lang w:val="en-US" w:eastAsia="x-none"/>
        </w:rPr>
        <w:t xml:space="preserve">To support multi-slot PDCCH monitoring, a UE would expect that a time gap between any two consecutive PDCCH monitoring spans is not smaller than X, while any PDCCH monitoring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 xml:space="preserve">, </m:t>
        </m:r>
      </m:oMath>
      <w:r>
        <w:t xml:space="preserve">are configured in a number of slots for </w:t>
      </w:r>
      <w:r>
        <w:rPr>
          <w:lang w:val="en-US"/>
        </w:rPr>
        <w:t xml:space="preserve">a search space set </w:t>
      </w:r>
      <w:r w:rsidRPr="0034757A">
        <w:rPr>
          <w:i/>
          <w:lang w:val="en-US"/>
        </w:rPr>
        <w:t>s</w:t>
      </w:r>
      <w:r>
        <w:t xml:space="preserve">, wherein those parameters should be enhanced to be compatible with the multi-slot PDCCH monitoring capability. </w:t>
      </w:r>
    </w:p>
    <w:p w14:paraId="201A02BE" w14:textId="732C0C18" w:rsidR="00573A3A" w:rsidRDefault="00573A3A" w:rsidP="00D758E6">
      <w:pPr>
        <w:spacing w:after="0"/>
        <w:jc w:val="both"/>
        <w:rPr>
          <w:lang w:val="en-US" w:eastAsia="x-none"/>
        </w:rPr>
      </w:pPr>
      <w:r>
        <w:t xml:space="preserve"> </w:t>
      </w:r>
    </w:p>
    <w:p w14:paraId="18559A36" w14:textId="563E055B" w:rsidR="00573A3A" w:rsidRDefault="00573A3A" w:rsidP="00D758E6">
      <w:pPr>
        <w:spacing w:after="0"/>
        <w:jc w:val="both"/>
      </w:pPr>
      <w:r>
        <w:t xml:space="preserve">Figure 1 illustrates an example of multi-slot PDCCH monitoring with combination of (X = 4, Y =2), wherein the configuration of search space set 3 is invalid because the </w:t>
      </w:r>
      <w:r w:rsidR="00A41908">
        <w:t xml:space="preserve">duration for </w:t>
      </w:r>
      <w:r>
        <w:t xml:space="preserve">consecutive PDCCH monitoring occasions from search space </w:t>
      </w:r>
      <w:proofErr w:type="gramStart"/>
      <w:r>
        <w:t>set</w:t>
      </w:r>
      <w:r w:rsidR="00A41908">
        <w:t>s</w:t>
      </w:r>
      <w:r>
        <w:t xml:space="preserve">  is</w:t>
      </w:r>
      <w:proofErr w:type="gramEnd"/>
      <w:r>
        <w:t xml:space="preserve"> not smaller than Y. In general, </w:t>
      </w:r>
      <w:r>
        <w:rPr>
          <w:lang w:val="en-US" w:eastAsia="x-none"/>
        </w:rPr>
        <w:t xml:space="preserve">the PDCCH monitoring periodicity should not be smaller than X,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val="en-US" w:eastAsia="x-none"/>
        </w:rPr>
        <w:t xml:space="preserve">, while the PDCCH monitoring duration is not larger than Y,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m:rPr>
            <m:sty m:val="p"/>
          </m:rPr>
          <w:rPr>
            <w:rFonts w:ascii="Cambria Math"/>
            <w:lang w:val="en-US" w:eastAsia="x-none"/>
          </w:rPr>
          <m:t>≤</m:t>
        </m:r>
        <m:r>
          <m:rPr>
            <m:sty m:val="p"/>
          </m:rPr>
          <w:rPr>
            <w:rFonts w:ascii="Cambria Math"/>
            <w:lang w:val="en-US" w:eastAsia="x-none"/>
          </w:rPr>
          <m:t>Y</m:t>
        </m:r>
      </m:oMath>
      <w:r>
        <w:rPr>
          <w:lang w:val="en-US" w:eastAsia="x-none"/>
        </w:rPr>
        <w:t xml:space="preserve">. Moreover, in order to maintain the </w:t>
      </w:r>
      <w:r w:rsidR="00A41908">
        <w:rPr>
          <w:lang w:val="en-US" w:eastAsia="x-none"/>
        </w:rPr>
        <w:t>repeated</w:t>
      </w:r>
      <w:r w:rsidR="00565DE6">
        <w:rPr>
          <w:lang w:val="en-US" w:eastAsia="x-none"/>
        </w:rPr>
        <w:t xml:space="preserve"> </w:t>
      </w:r>
      <w:r>
        <w:rPr>
          <w:lang w:val="en-US" w:eastAsia="x-none"/>
        </w:rPr>
        <w:t xml:space="preserve">pattern of Y slots within X-slot group, the PDCCH monitoring periodicity should be further restricted to the value as integer multiple of X,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=k⋅X</m:t>
        </m:r>
      </m:oMath>
      <w:r>
        <w:t xml:space="preserve">, wherein </w:t>
      </w:r>
      <m:oMath>
        <m:r>
          <w:rPr>
            <w:rFonts w:ascii="Cambria Math" w:hAnsi="Cambria Math"/>
          </w:rPr>
          <m:t>k</m:t>
        </m:r>
      </m:oMath>
      <w:r>
        <w:t xml:space="preserve"> is a positive integer. </w:t>
      </w:r>
    </w:p>
    <w:p w14:paraId="31A676D3" w14:textId="77777777" w:rsidR="00D758E6" w:rsidRDefault="00D758E6" w:rsidP="00D758E6">
      <w:pPr>
        <w:spacing w:after="0"/>
        <w:jc w:val="both"/>
        <w:rPr>
          <w:lang w:val="en-US" w:eastAsia="x-none"/>
        </w:rPr>
      </w:pPr>
    </w:p>
    <w:p w14:paraId="7E4B1073" w14:textId="77777777" w:rsidR="00573A3A" w:rsidRDefault="00573A3A" w:rsidP="00573A3A">
      <w:r>
        <w:object w:dxaOrig="15793" w:dyaOrig="4669" w14:anchorId="629D0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42.8pt" o:ole="">
            <v:imagedata r:id="rId8" o:title=""/>
          </v:shape>
          <o:OLEObject Type="Embed" ProgID="Visio.Drawing.15" ShapeID="_x0000_i1025" DrawAspect="Content" ObjectID="_1697634467" r:id="rId9"/>
        </w:object>
      </w:r>
    </w:p>
    <w:p w14:paraId="20C30514" w14:textId="07EA139A" w:rsidR="00573A3A" w:rsidRPr="00232C90" w:rsidRDefault="00573A3A" w:rsidP="00573A3A">
      <w:pPr>
        <w:jc w:val="center"/>
        <w:rPr>
          <w:b/>
        </w:rPr>
      </w:pPr>
      <w:r w:rsidRPr="00232C90">
        <w:rPr>
          <w:b/>
        </w:rPr>
        <w:t xml:space="preserve">Figure </w:t>
      </w:r>
      <w:r>
        <w:rPr>
          <w:b/>
        </w:rPr>
        <w:t>1</w:t>
      </w:r>
      <w:r w:rsidRPr="00232C90">
        <w:rPr>
          <w:b/>
        </w:rPr>
        <w:t>: Illustration of search space set configurations limited by combination of (X = 4, Y =2).</w:t>
      </w:r>
    </w:p>
    <w:p w14:paraId="3CBC2E70" w14:textId="77777777" w:rsidR="00D758E6" w:rsidRDefault="00D758E6" w:rsidP="00D758E6">
      <w:pPr>
        <w:spacing w:after="0"/>
        <w:jc w:val="both"/>
      </w:pPr>
    </w:p>
    <w:p w14:paraId="5F0307C0" w14:textId="630438F4" w:rsidR="00573A3A" w:rsidRPr="00B673F0" w:rsidRDefault="00573A3A" w:rsidP="00573A3A">
      <w:pPr>
        <w:jc w:val="both"/>
        <w:rPr>
          <w:b/>
          <w:u w:val="single"/>
        </w:rPr>
      </w:pPr>
      <w:r w:rsidRPr="00232C90">
        <w:rPr>
          <w:b/>
          <w:u w:val="single"/>
        </w:rPr>
        <w:lastRenderedPageBreak/>
        <w:t xml:space="preserve">Proposal </w:t>
      </w:r>
      <w:r w:rsidR="009C78B5">
        <w:rPr>
          <w:b/>
          <w:u w:val="single"/>
        </w:rPr>
        <w:t>4</w:t>
      </w:r>
      <w:r w:rsidRPr="00232C90">
        <w:rPr>
          <w:b/>
          <w:u w:val="single"/>
        </w:rPr>
        <w:t>:</w:t>
      </w:r>
      <w:r>
        <w:rPr>
          <w:b/>
          <w:u w:val="single"/>
        </w:rPr>
        <w:t xml:space="preserve"> For </w:t>
      </w:r>
      <w:r w:rsidRPr="00232C90">
        <w:rPr>
          <w:b/>
          <w:u w:val="single"/>
        </w:rPr>
        <w:t>multi-s</w:t>
      </w:r>
      <w:r>
        <w:rPr>
          <w:b/>
          <w:u w:val="single"/>
        </w:rPr>
        <w:t xml:space="preserve">lot PDCCH monitoring based on combination (X, Y), the </w:t>
      </w:r>
      <w:r w:rsidRPr="00B673F0">
        <w:rPr>
          <w:b/>
          <w:u w:val="single"/>
        </w:rPr>
        <w:t>PDCCH monitoring periodicity</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w:t>
      </w:r>
      <w:r w:rsidRPr="00B673F0">
        <w:rPr>
          <w:b/>
          <w:u w:val="single"/>
        </w:rPr>
        <w:t xml:space="preserve"> </w:t>
      </w:r>
      <m:oMath>
        <m:r>
          <m:rPr>
            <m:sty m:val="bi"/>
          </m:rPr>
          <w:rPr>
            <w:rFonts w:ascii="Cambria Math" w:hAnsi="Cambria Math"/>
            <w:u w:val="single"/>
          </w:rPr>
          <m:t>k=1, 2, …</m:t>
        </m:r>
      </m:oMath>
      <w:r>
        <w:rPr>
          <w:b/>
          <w:u w:val="single"/>
        </w:rPr>
        <w:t xml:space="preserve">, and the </w:t>
      </w:r>
      <w:r w:rsidRPr="00B673F0">
        <w:rPr>
          <w:b/>
          <w:u w:val="single"/>
        </w:rPr>
        <w:t>PDCCH monitoring duration</w:t>
      </w:r>
      <w:r>
        <w:rPr>
          <w:b/>
          <w:u w:val="single"/>
        </w:rPr>
        <w:t xml:space="preserve"> is</w:t>
      </w:r>
      <w:r w:rsidRPr="00B673F0">
        <w:rPr>
          <w:b/>
          <w:u w:val="single"/>
        </w:rPr>
        <w:t xml:space="preserve"> </w:t>
      </w:r>
      <m:oMath>
        <m:sSub>
          <m:sSubPr>
            <m:ctrlPr>
              <w:rPr>
                <w:rFonts w:ascii="Cambria Math" w:hAnsi="Cambria Math"/>
                <w:b/>
                <w:i/>
                <w:u w:val="single"/>
                <w:lang w:val="en-US"/>
              </w:rPr>
            </m:ctrlPr>
          </m:sSubPr>
          <m:e>
            <m:r>
              <m:rPr>
                <m:sty m:val="bi"/>
              </m:rPr>
              <w:rPr>
                <w:rFonts w:ascii="Cambria Math" w:hAnsi="Cambria Math"/>
                <w:u w:val="single"/>
                <w:lang w:val="en-US"/>
              </w:rPr>
              <m:t>T</m:t>
            </m:r>
          </m:e>
          <m:sub>
            <m:r>
              <m:rPr>
                <m:sty m:val="bi"/>
              </m:rPr>
              <w:rPr>
                <w:rFonts w:ascii="Cambria Math" w:hAnsi="Cambria Math"/>
                <w:u w:val="single"/>
                <w:lang w:val="en-US"/>
              </w:rPr>
              <m:t>s</m:t>
            </m:r>
          </m:sub>
        </m:sSub>
        <m:r>
          <m:rPr>
            <m:sty m:val="bi"/>
          </m:rPr>
          <w:rPr>
            <w:rFonts w:ascii="Cambria Math" w:hAnsi="Cambria Math" w:hint="eastAsia"/>
            <w:u w:val="single"/>
            <w:lang w:val="en-US"/>
          </w:rPr>
          <m:t>≤</m:t>
        </m:r>
        <m:r>
          <m:rPr>
            <m:sty m:val="bi"/>
          </m:rPr>
          <w:rPr>
            <w:rFonts w:ascii="Cambria Math" w:hAnsi="Cambria Math"/>
            <w:u w:val="single"/>
            <w:lang w:val="en-US"/>
          </w:rPr>
          <m:t>Y</m:t>
        </m:r>
      </m:oMath>
      <w:r w:rsidR="009C78B5">
        <w:rPr>
          <w:b/>
          <w:u w:val="single"/>
          <w:lang w:val="en-US"/>
        </w:rPr>
        <w:t>.</w:t>
      </w:r>
    </w:p>
    <w:p w14:paraId="355C350C" w14:textId="34F58958" w:rsidR="00573A3A" w:rsidRPr="009C78B5" w:rsidRDefault="00573A3A" w:rsidP="009C78B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9C78B5">
        <w:rPr>
          <w:szCs w:val="20"/>
          <w:lang w:val="en-US"/>
        </w:rPr>
        <w:t>P</w:t>
      </w:r>
      <w:r w:rsidR="00D758E6">
        <w:rPr>
          <w:szCs w:val="20"/>
          <w:lang w:val="en-US"/>
        </w:rPr>
        <w:t xml:space="preserve">DCCH Candidates </w:t>
      </w:r>
      <w:r w:rsidR="009C78B5">
        <w:rPr>
          <w:szCs w:val="20"/>
          <w:lang w:val="en-US"/>
        </w:rPr>
        <w:t>D</w:t>
      </w:r>
      <w:r w:rsidRPr="009C78B5">
        <w:rPr>
          <w:szCs w:val="20"/>
          <w:lang w:val="en-US"/>
        </w:rPr>
        <w:t xml:space="preserve">ropping </w:t>
      </w:r>
      <w:r w:rsidR="00D758E6">
        <w:rPr>
          <w:szCs w:val="20"/>
          <w:lang w:val="en-US"/>
        </w:rPr>
        <w:t>for</w:t>
      </w:r>
      <w:r w:rsidR="009C78B5">
        <w:rPr>
          <w:szCs w:val="20"/>
          <w:lang w:val="en-US"/>
        </w:rPr>
        <w:t xml:space="preserve"> Multi-Slot</w:t>
      </w:r>
    </w:p>
    <w:p w14:paraId="2D6BD0DF" w14:textId="535CA446" w:rsidR="00573A3A" w:rsidRDefault="00573A3A" w:rsidP="00D758E6">
      <w:pPr>
        <w:spacing w:after="0"/>
        <w:jc w:val="both"/>
      </w:pPr>
      <w:r>
        <w:t xml:space="preserve">In Rel-16, a procedure to resolve overbooking conditions for PDCCH monitoring per slot or span in a slot </w:t>
      </w:r>
      <w:r w:rsidR="003F1415">
        <w:t xml:space="preserve">is </w:t>
      </w:r>
      <w:r>
        <w:t>specified in TS</w:t>
      </w:r>
      <w:r w:rsidR="00D758E6">
        <w:t xml:space="preserve"> </w:t>
      </w:r>
      <w:r w:rsidR="00720E3C">
        <w:t>38.213</w:t>
      </w:r>
      <w:r>
        <w:t xml:space="preserve">. </w:t>
      </w:r>
      <w:r w:rsidR="00D758E6">
        <w:t>F</w:t>
      </w:r>
      <w:r>
        <w:t xml:space="preserve">or a search space set, </w:t>
      </w:r>
      <w:r w:rsidR="00D758E6">
        <w:t xml:space="preserve">when </w:t>
      </w:r>
      <w:r>
        <w:t xml:space="preserve">a resulting total </w:t>
      </w:r>
      <w:r w:rsidR="00D758E6">
        <w:t xml:space="preserve">number </w:t>
      </w:r>
      <w:r>
        <w:t xml:space="preserve">of monitored PDCCH candidates or non-overlapped CCEs would exceed corresponding maximum values in a slot or span, the UE will drop PDCCH monitoring for the search space set and for remaining search space sets with higher indexes. </w:t>
      </w:r>
    </w:p>
    <w:p w14:paraId="49371545" w14:textId="77777777" w:rsidR="00D758E6" w:rsidRDefault="00D758E6" w:rsidP="00D758E6">
      <w:pPr>
        <w:spacing w:after="0"/>
        <w:jc w:val="both"/>
      </w:pPr>
    </w:p>
    <w:p w14:paraId="7466652B" w14:textId="2416F948" w:rsidR="00D758E6" w:rsidRDefault="00D758E6" w:rsidP="00D758E6">
      <w:pPr>
        <w:spacing w:after="0"/>
        <w:jc w:val="both"/>
      </w:pPr>
      <w:r>
        <w:t>For multi-slot PDCCH monitoring as illustrated in Figure 2, the PDCCH candidate dropping rule should be extended to support PDCCH monitoring in a X-slot group. For example, the time-domain unit of one slot for performing the dropping rule should be extended to a X-</w:t>
      </w:r>
      <w:r w:rsidRPr="007D1DC0">
        <w:t xml:space="preserve">slot group, while keeping other details the same as in current specification. </w:t>
      </w:r>
      <w:r w:rsidR="006B7332" w:rsidRPr="007D1DC0">
        <w:t xml:space="preserve">Given a multi-slot PDCCH monitoring capability of </w:t>
      </w:r>
      <m:oMath>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max,(X,Y), μ</m:t>
            </m:r>
          </m:sup>
        </m:sSubSup>
      </m:oMath>
      <w:r w:rsidR="006B7332" w:rsidRPr="007D1DC0">
        <w:rPr>
          <w:iCs/>
        </w:rPr>
        <w:t xml:space="preserve">, and </w:t>
      </w:r>
      <w:r w:rsidR="006B7332" w:rsidRPr="007D1DC0">
        <w:t xml:space="preserve"> </w:t>
      </w:r>
      <m:oMath>
        <m:sSubSup>
          <m:sSubSupPr>
            <m:ctrlPr>
              <w:rPr>
                <w:rFonts w:ascii="Cambria Math" w:hAnsi="Cambria Math"/>
                <w:i/>
                <w:iCs/>
              </w:rPr>
            </m:ctrlPr>
          </m:sSubSupPr>
          <m:e>
            <m:r>
              <w:rPr>
                <w:rFonts w:ascii="Cambria Math" w:hAnsi="Cambria Math"/>
              </w:rPr>
              <m:t>C</m:t>
            </m:r>
          </m:e>
          <m:sub>
            <m:r>
              <w:rPr>
                <w:rFonts w:ascii="Cambria Math" w:hAnsi="Cambria Math"/>
              </w:rPr>
              <m:t>PDCCH</m:t>
            </m:r>
          </m:sub>
          <m:sup>
            <m:r>
              <w:rPr>
                <w:rFonts w:ascii="Cambria Math" w:hAnsi="Cambria Math"/>
              </w:rPr>
              <m:t>max,(X,Y),μ</m:t>
            </m:r>
          </m:sup>
        </m:sSubSup>
      </m:oMath>
      <w:r w:rsidR="006B7332" w:rsidRPr="007D1DC0">
        <w:t xml:space="preserve">, a </w:t>
      </w:r>
      <w:r w:rsidR="00565DE6" w:rsidRPr="007D1DC0">
        <w:t>UE should allocate</w:t>
      </w:r>
      <w:r w:rsidR="006B7332" w:rsidRPr="007D1DC0">
        <w:t>s</w:t>
      </w:r>
      <w:r w:rsidR="00565DE6" w:rsidRPr="007D1DC0">
        <w:t xml:space="preserve"> </w:t>
      </w:r>
      <m:oMath>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max,(X,Y), μ</m:t>
            </m:r>
          </m:sup>
        </m:sSubSup>
      </m:oMath>
      <w:r w:rsidR="006B7332" w:rsidRPr="007D1DC0">
        <w:rPr>
          <w:iCs/>
        </w:rPr>
        <w:t xml:space="preserve">, </w:t>
      </w:r>
      <w:r w:rsidR="00565DE6" w:rsidRPr="007D1DC0">
        <w:t xml:space="preserve">or </w:t>
      </w:r>
      <m:oMath>
        <m:sSubSup>
          <m:sSubSupPr>
            <m:ctrlPr>
              <w:rPr>
                <w:rFonts w:ascii="Cambria Math" w:hAnsi="Cambria Math"/>
                <w:i/>
                <w:iCs/>
              </w:rPr>
            </m:ctrlPr>
          </m:sSubSupPr>
          <m:e>
            <m:r>
              <w:rPr>
                <w:rFonts w:ascii="Cambria Math" w:hAnsi="Cambria Math"/>
              </w:rPr>
              <m:t>C</m:t>
            </m:r>
          </m:e>
          <m:sub>
            <m:r>
              <w:rPr>
                <w:rFonts w:ascii="Cambria Math" w:hAnsi="Cambria Math"/>
              </w:rPr>
              <m:t>PDCCH</m:t>
            </m:r>
          </m:sub>
          <m:sup>
            <m:r>
              <w:rPr>
                <w:rFonts w:ascii="Cambria Math" w:hAnsi="Cambria Math"/>
              </w:rPr>
              <m:t>max,(X,Y),μ</m:t>
            </m:r>
          </m:sup>
        </m:sSubSup>
      </m:oMath>
      <w:r w:rsidR="00565DE6" w:rsidRPr="007D1DC0">
        <w:t xml:space="preserve"> to CSS sets first regardless of the location within the X-slot group, and then allocate the remaining PDCCH candidates or non-overlapping CCEs to USS sets in the order of search space set index. </w:t>
      </w:r>
      <w:r w:rsidR="006B7332" w:rsidRPr="007D1DC0">
        <w:t>In the example illustrated in Figure 2, t</w:t>
      </w:r>
      <w:r w:rsidR="00565DE6" w:rsidRPr="007D1DC0">
        <w:t xml:space="preserve">he </w:t>
      </w:r>
      <w:r w:rsidR="006B7332" w:rsidRPr="007D1DC0">
        <w:t>PDCCH candidates/non-overlapping CCEs allocation order for the configured search space sets are: CSS, USS set #1, USS set #2.</w:t>
      </w:r>
      <w:r w:rsidR="006B7332">
        <w:t xml:space="preserve"> </w:t>
      </w:r>
    </w:p>
    <w:p w14:paraId="1573787D" w14:textId="77777777" w:rsidR="00D758E6" w:rsidRDefault="00D758E6" w:rsidP="00D758E6">
      <w:pPr>
        <w:spacing w:after="0"/>
        <w:jc w:val="both"/>
      </w:pPr>
    </w:p>
    <w:p w14:paraId="49537780" w14:textId="20660F8E" w:rsidR="00573A3A" w:rsidRDefault="006B7332" w:rsidP="00573A3A">
      <w:pPr>
        <w:jc w:val="center"/>
      </w:pPr>
      <w:r>
        <w:object w:dxaOrig="11040" w:dyaOrig="2533" w14:anchorId="39037B20">
          <v:shape id="_x0000_i1026" type="#_x0000_t75" style="width:482.05pt;height:111.05pt" o:ole="">
            <v:imagedata r:id="rId10" o:title=""/>
          </v:shape>
          <o:OLEObject Type="Embed" ProgID="Visio.Drawing.15" ShapeID="_x0000_i1026" DrawAspect="Content" ObjectID="_1697634468" r:id="rId11"/>
        </w:object>
      </w:r>
    </w:p>
    <w:p w14:paraId="221C3B2D" w14:textId="066F909C" w:rsidR="00573A3A" w:rsidRPr="001B3DF6" w:rsidRDefault="00573A3A" w:rsidP="00573A3A">
      <w:pPr>
        <w:jc w:val="center"/>
        <w:rPr>
          <w:b/>
        </w:rPr>
      </w:pPr>
      <w:r w:rsidRPr="00232C90">
        <w:rPr>
          <w:b/>
        </w:rPr>
        <w:t xml:space="preserve">Figure </w:t>
      </w:r>
      <w:r w:rsidR="00565DE6">
        <w:rPr>
          <w:b/>
        </w:rPr>
        <w:t>2</w:t>
      </w:r>
      <w:r w:rsidRPr="00232C90">
        <w:rPr>
          <w:b/>
        </w:rPr>
        <w:t xml:space="preserve">: </w:t>
      </w:r>
      <w:r>
        <w:rPr>
          <w:b/>
        </w:rPr>
        <w:t>Allocation</w:t>
      </w:r>
      <w:r w:rsidRPr="00232C90">
        <w:rPr>
          <w:b/>
        </w:rPr>
        <w:t xml:space="preserve"> of PDCCH candidates with combination (X = 4, Y =2).</w:t>
      </w:r>
    </w:p>
    <w:p w14:paraId="44639694" w14:textId="7758CF97" w:rsidR="00573A3A" w:rsidRDefault="00D758E6" w:rsidP="00573A3A">
      <w:pPr>
        <w:jc w:val="both"/>
      </w:pPr>
      <w:r>
        <w:t>Moreover, w</w:t>
      </w:r>
      <w:r w:rsidR="00573A3A" w:rsidRPr="00E219EA">
        <w:t>hen a UE is configured with CA operation,</w:t>
      </w:r>
      <w:r w:rsidR="00573A3A">
        <w:t xml:space="preserve"> the PDCCH candidate</w:t>
      </w:r>
      <w:r>
        <w:t xml:space="preserve"> </w:t>
      </w:r>
      <w:r w:rsidR="00573A3A" w:rsidRPr="00E219EA">
        <w:t xml:space="preserve">dropping rule per multi-slot should be extended to multiple CCs that are configured with multi-slot PDCCH monitoring capability. For </w:t>
      </w:r>
      <w:r w:rsidR="00573A3A">
        <w:t xml:space="preserve">a UE configured with </w:t>
      </w:r>
      <w:r w:rsidR="00573A3A" w:rsidRPr="00E219EA">
        <w:t xml:space="preserve">CA </w:t>
      </w:r>
      <w:r w:rsidR="00573A3A">
        <w:t>operation</w:t>
      </w:r>
      <w:r w:rsidR="00573A3A" w:rsidRPr="00E219EA">
        <w:t xml:space="preserve">, </w:t>
      </w:r>
      <w:r w:rsidR="00573A3A">
        <w:t xml:space="preserve">NR </w:t>
      </w:r>
      <w:r w:rsidR="00573A3A" w:rsidRPr="00E219EA">
        <w:t>Rel-16</w:t>
      </w:r>
      <w:r w:rsidR="00573A3A">
        <w:t xml:space="preserve"> supports </w:t>
      </w:r>
      <w:r w:rsidR="00573A3A" w:rsidRPr="00E219EA">
        <w:t xml:space="preserve">multiple PDCCH monitoring capabilities, such that </w:t>
      </w:r>
      <w:proofErr w:type="spellStart"/>
      <w:r w:rsidR="00573A3A">
        <w:t>gNB</w:t>
      </w:r>
      <w:proofErr w:type="spellEnd"/>
      <w:r w:rsidR="00573A3A">
        <w:t xml:space="preserve"> can configure </w:t>
      </w:r>
      <w:r w:rsidR="00573A3A" w:rsidRPr="00E219EA">
        <w:t xml:space="preserve">some cells with Rel-15 per slot based PDCCH monitoring capability, </w:t>
      </w:r>
      <w:r w:rsidR="00573A3A">
        <w:t>and</w:t>
      </w:r>
      <w:r w:rsidR="00573A3A" w:rsidRPr="00E219EA">
        <w:t xml:space="preserve"> some other cells with Rel-16 per span based PDCCH monitoring capability. The same principle can be reused to include multi-slot PDCCH monitoring capability</w:t>
      </w:r>
      <w:r w:rsidR="00573A3A">
        <w:t xml:space="preserve"> as another candidate for PDCCH monitoring capability configuration</w:t>
      </w:r>
      <w:r w:rsidR="00573A3A" w:rsidRPr="00E219EA">
        <w:t>.</w:t>
      </w:r>
      <w:r w:rsidR="00573A3A">
        <w:t xml:space="preserve"> </w:t>
      </w:r>
    </w:p>
    <w:p w14:paraId="4DEFE4CC" w14:textId="49F2E947" w:rsidR="00573A3A" w:rsidRDefault="00573A3A" w:rsidP="00573A3A">
      <w:pPr>
        <w:jc w:val="both"/>
        <w:rPr>
          <w:b/>
          <w:u w:val="single"/>
        </w:rPr>
      </w:pPr>
      <w:r>
        <w:rPr>
          <w:b/>
          <w:u w:val="single"/>
        </w:rPr>
        <w:t xml:space="preserve">Proposal </w:t>
      </w:r>
      <w:r w:rsidR="00D758E6">
        <w:rPr>
          <w:b/>
          <w:u w:val="single"/>
        </w:rPr>
        <w:t>5</w:t>
      </w:r>
      <w:r>
        <w:rPr>
          <w:b/>
          <w:u w:val="single"/>
        </w:rPr>
        <w:t>: Support PDCCH candidate</w:t>
      </w:r>
      <w:r w:rsidR="00D758E6">
        <w:rPr>
          <w:b/>
          <w:u w:val="single"/>
        </w:rPr>
        <w:t xml:space="preserve"> </w:t>
      </w:r>
      <w:r w:rsidRPr="00232C90">
        <w:rPr>
          <w:b/>
          <w:u w:val="single"/>
        </w:rPr>
        <w:t>droppin</w:t>
      </w:r>
      <w:r>
        <w:rPr>
          <w:b/>
          <w:u w:val="single"/>
        </w:rPr>
        <w:t xml:space="preserve">g per a </w:t>
      </w:r>
      <w:r w:rsidR="00D758E6">
        <w:rPr>
          <w:b/>
          <w:u w:val="single"/>
        </w:rPr>
        <w:t>X-slot group</w:t>
      </w:r>
      <w:r>
        <w:rPr>
          <w:b/>
          <w:u w:val="single"/>
        </w:rPr>
        <w:t xml:space="preserve"> for a single serving cell and across multiple CCs in CA.</w:t>
      </w:r>
    </w:p>
    <w:p w14:paraId="53F4858B" w14:textId="4A396451" w:rsidR="00573A3A" w:rsidRPr="00D758E6" w:rsidRDefault="00D758E6" w:rsidP="00D758E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CCE Location D</w:t>
      </w:r>
      <w:r w:rsidR="00573A3A" w:rsidRPr="00D758E6">
        <w:rPr>
          <w:szCs w:val="20"/>
          <w:lang w:val="en-US"/>
        </w:rPr>
        <w:t>etermi</w:t>
      </w:r>
      <w:r>
        <w:rPr>
          <w:szCs w:val="20"/>
          <w:lang w:val="en-US"/>
        </w:rPr>
        <w:t>nation per Multi-Slot D</w:t>
      </w:r>
      <w:r w:rsidR="00573A3A" w:rsidRPr="00D758E6">
        <w:rPr>
          <w:szCs w:val="20"/>
          <w:lang w:val="en-US"/>
        </w:rPr>
        <w:t>uration</w:t>
      </w:r>
    </w:p>
    <w:p w14:paraId="25065902" w14:textId="2EE9D37D" w:rsidR="00573A3A" w:rsidRPr="00C13A46" w:rsidRDefault="00573A3A" w:rsidP="00573A3A">
      <w:pPr>
        <w:jc w:val="both"/>
      </w:pPr>
      <w:r w:rsidRPr="00C13A46">
        <w:t xml:space="preserve">Another aspect impacted by multi-slot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C13A46">
        <w:t xml:space="preserve"> is the slot index of the PDCCH monitoring occasion. For multi-slot PDCCH monitoring, the index of the first slot from the X</w:t>
      </w:r>
      <w:r w:rsidR="00D758E6">
        <w:t>-slot group should be</w:t>
      </w:r>
      <w:r w:rsidRPr="00C13A46">
        <w:t xml:space="preserve">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00D758E6">
        <w:t>,</w:t>
      </w:r>
      <w:r w:rsidRPr="00C13A46">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rPr>
          <w:i/>
        </w:rPr>
        <w:t>,</w:t>
      </w:r>
      <w:r w:rsidRPr="00C13A46">
        <w:t xml:space="preserve"> for each PDCCH monitoring occasion within the X</w:t>
      </w:r>
      <w:r w:rsidR="00D758E6">
        <w:t>-slot group</w:t>
      </w:r>
      <w:r w:rsidRPr="00C13A46">
        <w:t xml:space="preserve">;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updated per slot and considering the time-first mapping for PDCCH and that Y can be more than 1 slot, the Rel-16 CCE-based structure for PDCCH transmissions cannot be maintained. </w:t>
      </w:r>
    </w:p>
    <w:p w14:paraId="074D48BF" w14:textId="0D802FA2" w:rsidR="00573A3A" w:rsidRDefault="00573A3A" w:rsidP="00573A3A">
      <w:pPr>
        <w:jc w:val="both"/>
        <w:rPr>
          <w:b/>
          <w:u w:val="single"/>
        </w:rPr>
      </w:pPr>
      <w:r w:rsidRPr="00C13A46">
        <w:rPr>
          <w:b/>
          <w:u w:val="single"/>
        </w:rPr>
        <w:t xml:space="preserve">Proposal </w:t>
      </w:r>
      <w:r w:rsidR="00D758E6">
        <w:rPr>
          <w:b/>
          <w:u w:val="single"/>
        </w:rPr>
        <w:t>6</w:t>
      </w:r>
      <w:r w:rsidRPr="00C13A46">
        <w:rPr>
          <w:b/>
          <w:u w:val="single"/>
        </w:rPr>
        <w:t xml:space="preserve">: </w:t>
      </w:r>
      <w:r w:rsidR="00D758E6">
        <w:rPr>
          <w:b/>
          <w:u w:val="single"/>
        </w:rPr>
        <w:t>For multi-slot PDCCH monitoring</w:t>
      </w:r>
      <w:r w:rsidRPr="00C13A46">
        <w:rPr>
          <w:b/>
          <w:u w:val="single"/>
        </w:rPr>
        <w:t xml:space="preserve">,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w:t>
      </w:r>
      <w:r w:rsidR="00364C6F">
        <w:rPr>
          <w:b/>
          <w:u w:val="single"/>
        </w:rPr>
        <w:t>for determining the CCE location</w:t>
      </w:r>
      <w:r w:rsidRPr="00C13A46">
        <w:rPr>
          <w:b/>
          <w:u w:val="single"/>
        </w:rPr>
        <w:t xml:space="preserve">.  </w:t>
      </w:r>
    </w:p>
    <w:p w14:paraId="44D08099" w14:textId="77777777" w:rsidR="00364C6F" w:rsidRPr="00364C6F" w:rsidRDefault="00364C6F" w:rsidP="00364C6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64C6F">
        <w:rPr>
          <w:szCs w:val="20"/>
          <w:lang w:val="en-US"/>
        </w:rPr>
        <w:t>Enhancement to GC-PDCCH</w:t>
      </w:r>
    </w:p>
    <w:p w14:paraId="0DE24447" w14:textId="77777777" w:rsidR="00364C6F" w:rsidRDefault="00364C6F" w:rsidP="00364C6F">
      <w:pPr>
        <w:tabs>
          <w:tab w:val="left" w:pos="1300"/>
        </w:tabs>
        <w:jc w:val="both"/>
        <w:rPr>
          <w:lang w:val="en-US"/>
        </w:rPr>
      </w:pPr>
      <w:r>
        <w:rPr>
          <w:lang w:val="en-US"/>
        </w:rPr>
        <w:t>F</w:t>
      </w:r>
      <w:r w:rsidRPr="00D65339">
        <w:rPr>
          <w:lang w:val="en-US"/>
        </w:rPr>
        <w:t xml:space="preserve">or 60 GHz unlicensed band, transmissions are expected to be highly directional. To address the channel access efficiency, </w:t>
      </w:r>
      <w:r>
        <w:rPr>
          <w:lang w:val="en-US"/>
        </w:rPr>
        <w:t>a t</w:t>
      </w:r>
      <w:r w:rsidRPr="00D65339">
        <w:rPr>
          <w:lang w:val="en-US"/>
        </w:rPr>
        <w:t xml:space="preserve">ransmitter can choose an intended beam direction to perform the channel access procedure, and the sensed result is exclusively applicable to that intended beam direction only. Hence, indicating COT, available RB set, and search space </w:t>
      </w:r>
      <w:r w:rsidRPr="00D65339">
        <w:rPr>
          <w:lang w:val="en-US"/>
        </w:rPr>
        <w:lastRenderedPageBreak/>
        <w:t xml:space="preserve">group switching </w:t>
      </w:r>
      <w:r>
        <w:rPr>
          <w:lang w:val="en-US"/>
        </w:rPr>
        <w:t>should</w:t>
      </w:r>
      <w:r w:rsidRPr="00D65339">
        <w:rPr>
          <w:lang w:val="en-US"/>
        </w:rPr>
        <w:t xml:space="preserve"> be associated with the beam direction, wherein such feature was introduced in Rel-16 NR-U by using DCI format 2_</w:t>
      </w:r>
      <w:r>
        <w:rPr>
          <w:lang w:val="en-US"/>
        </w:rPr>
        <w:t>0</w:t>
      </w:r>
      <w:r w:rsidRPr="00D65339">
        <w:rPr>
          <w:lang w:val="en-US"/>
        </w:rPr>
        <w:t xml:space="preserve"> and in a cell-specific manner. </w:t>
      </w:r>
      <w:r>
        <w:rPr>
          <w:lang w:val="en-US"/>
        </w:rPr>
        <w:t>G</w:t>
      </w:r>
      <w:r w:rsidRPr="00D65339">
        <w:rPr>
          <w:lang w:val="en-US"/>
        </w:rPr>
        <w:t>eneralizing the feature to a beam-specific manner is beneficial to address different interference situation</w:t>
      </w:r>
      <w:r>
        <w:rPr>
          <w:lang w:val="en-US"/>
        </w:rPr>
        <w:t>s</w:t>
      </w:r>
      <w:r w:rsidRPr="00D65339">
        <w:rPr>
          <w:lang w:val="en-US"/>
        </w:rPr>
        <w:t xml:space="preserve"> along beam directions, and </w:t>
      </w:r>
      <w:r>
        <w:rPr>
          <w:lang w:val="en-US"/>
        </w:rPr>
        <w:t xml:space="preserve">is </w:t>
      </w:r>
      <w:r w:rsidRPr="00D65339">
        <w:rPr>
          <w:lang w:val="en-US"/>
        </w:rPr>
        <w:t xml:space="preserve">compatible with the intention to introduce directional LBT. </w:t>
      </w:r>
    </w:p>
    <w:p w14:paraId="193FFD44" w14:textId="7EEDFBB4" w:rsidR="00364C6F" w:rsidRPr="00E03DC1" w:rsidRDefault="00364C6F" w:rsidP="00364C6F">
      <w:pPr>
        <w:tabs>
          <w:tab w:val="left" w:pos="1300"/>
        </w:tabs>
        <w:jc w:val="both"/>
        <w:rPr>
          <w:b/>
          <w:u w:val="single"/>
          <w:lang w:val="en-US"/>
        </w:rPr>
      </w:pPr>
      <w:r w:rsidRPr="00D65339">
        <w:rPr>
          <w:b/>
          <w:u w:val="single"/>
          <w:lang w:val="en-US"/>
        </w:rPr>
        <w:t xml:space="preserve">Proposal </w:t>
      </w:r>
      <w:r>
        <w:rPr>
          <w:b/>
          <w:u w:val="single"/>
          <w:lang w:val="en-US"/>
        </w:rPr>
        <w:t>7</w:t>
      </w:r>
      <w:r w:rsidRPr="00D65339">
        <w:rPr>
          <w:b/>
          <w:u w:val="single"/>
          <w:lang w:val="en-US"/>
        </w:rPr>
        <w:t>: Support indicating COT, available RB set, and search space group switching in a beam-specific manner for 60 GHz licensed band.</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49E8DCDD" w:rsidR="00815493" w:rsidRDefault="00137044" w:rsidP="008F273A">
      <w:r>
        <w:t xml:space="preserve">The </w:t>
      </w:r>
      <w:r w:rsidR="00B17078">
        <w:t xml:space="preserve">observations and </w:t>
      </w:r>
      <w:r w:rsidR="0028289A">
        <w:t>proposals</w:t>
      </w:r>
      <w:r w:rsidR="00815493" w:rsidRPr="00816B5E">
        <w:t xml:space="preserve"> made in this contribution </w:t>
      </w:r>
      <w:r w:rsidR="001855F9">
        <w:t>are</w:t>
      </w:r>
      <w:r w:rsidR="00815493" w:rsidRPr="00816B5E">
        <w:t xml:space="preserve"> summarized below:</w:t>
      </w:r>
    </w:p>
    <w:p w14:paraId="4462272E" w14:textId="77777777" w:rsidR="008F273A" w:rsidRPr="00861F60" w:rsidRDefault="008F273A" w:rsidP="008F273A">
      <w:pPr>
        <w:tabs>
          <w:tab w:val="left" w:pos="1300"/>
        </w:tabs>
        <w:spacing w:after="0"/>
        <w:jc w:val="both"/>
        <w:rPr>
          <w:b/>
          <w:u w:val="single"/>
          <w:lang w:val="en-US"/>
        </w:rPr>
      </w:pPr>
      <w:r w:rsidRPr="00861F60">
        <w:rPr>
          <w:b/>
          <w:u w:val="single"/>
          <w:lang w:val="en-US"/>
        </w:rPr>
        <w:t>Proposal 1: Support Option A for multi-slot PDCCH monitoring:</w:t>
      </w:r>
    </w:p>
    <w:p w14:paraId="0485F0E6" w14:textId="77777777" w:rsidR="008F273A" w:rsidRPr="00861F60" w:rsidRDefault="008F273A" w:rsidP="008F273A">
      <w:pPr>
        <w:pStyle w:val="ListParagraph"/>
        <w:numPr>
          <w:ilvl w:val="0"/>
          <w:numId w:val="39"/>
        </w:numPr>
        <w:tabs>
          <w:tab w:val="left" w:pos="1300"/>
        </w:tabs>
        <w:spacing w:after="0"/>
        <w:ind w:leftChars="0"/>
        <w:jc w:val="both"/>
        <w:rPr>
          <w:b/>
          <w:u w:val="single"/>
          <w:lang w:val="en-US"/>
        </w:rPr>
      </w:pPr>
      <w:r w:rsidRPr="00861F60">
        <w:rPr>
          <w:b/>
          <w:u w:val="single"/>
          <w:lang w:val="en-US"/>
        </w:rPr>
        <w:t>Y=1 is mandatory, and Y=X/2 is optional;</w:t>
      </w:r>
    </w:p>
    <w:p w14:paraId="21774B39" w14:textId="77777777" w:rsidR="008F273A" w:rsidRPr="00861F60" w:rsidRDefault="008F273A" w:rsidP="008F273A">
      <w:pPr>
        <w:pStyle w:val="ListParagraph"/>
        <w:numPr>
          <w:ilvl w:val="0"/>
          <w:numId w:val="39"/>
        </w:numPr>
        <w:spacing w:after="0"/>
        <w:ind w:leftChars="0"/>
        <w:jc w:val="both"/>
        <w:rPr>
          <w:b/>
          <w:u w:val="single"/>
          <w:lang w:val="en-US" w:eastAsia="ja-JP"/>
        </w:rPr>
      </w:pPr>
      <w:r w:rsidRPr="00861F60">
        <w:rPr>
          <w:b/>
          <w:u w:val="single"/>
          <w:lang w:val="en-US" w:eastAsia="ja-JP"/>
        </w:rPr>
        <w:t>UE only monitors one slot for Type0-PDCCH:</w:t>
      </w:r>
    </w:p>
    <w:p w14:paraId="788D8EDD" w14:textId="77777777" w:rsidR="008F273A" w:rsidRPr="00861F60" w:rsidRDefault="008F273A" w:rsidP="008F273A">
      <w:pPr>
        <w:pStyle w:val="ListParagraph"/>
        <w:numPr>
          <w:ilvl w:val="1"/>
          <w:numId w:val="39"/>
        </w:numPr>
        <w:spacing w:after="0"/>
        <w:ind w:leftChars="0"/>
        <w:jc w:val="both"/>
        <w:rPr>
          <w:b/>
          <w:u w:val="single"/>
          <w:lang w:val="en-US"/>
        </w:rPr>
      </w:pPr>
      <w:r w:rsidRPr="00861F60">
        <w:rPr>
          <w:b/>
          <w:u w:val="single"/>
          <w:lang w:val="en-US"/>
        </w:rPr>
        <w:t xml:space="preserve">Alt 1: the one slot is slot </w:t>
      </w:r>
      <m:oMath>
        <m:sSub>
          <m:sSubPr>
            <m:ctrlPr>
              <w:rPr>
                <w:rFonts w:ascii="Cambria Math" w:hAnsi="Cambria Math"/>
                <w:b/>
                <w:i/>
                <w:u w:val="single"/>
                <w:lang w:val="en-US"/>
              </w:rPr>
            </m:ctrlPr>
          </m:sSubPr>
          <m:e>
            <m:r>
              <m:rPr>
                <m:sty m:val="bi"/>
              </m:rPr>
              <w:rPr>
                <w:rFonts w:ascii="Cambria Math" w:hAnsi="Cambria Math"/>
                <w:u w:val="single"/>
                <w:lang w:val="en-US"/>
              </w:rPr>
              <m:t>n</m:t>
            </m:r>
          </m:e>
          <m:sub>
            <m:r>
              <m:rPr>
                <m:sty m:val="bi"/>
              </m:rPr>
              <w:rPr>
                <w:rFonts w:ascii="Cambria Math" w:hAnsi="Cambria Math"/>
                <w:u w:val="single"/>
                <w:lang w:val="en-US"/>
              </w:rPr>
              <m:t>0</m:t>
            </m:r>
          </m:sub>
        </m:sSub>
      </m:oMath>
      <w:r w:rsidRPr="00861F60">
        <w:rPr>
          <w:b/>
          <w:u w:val="single"/>
          <w:lang w:val="en-US"/>
        </w:rPr>
        <w:t xml:space="preserve"> for all cases;</w:t>
      </w:r>
    </w:p>
    <w:p w14:paraId="69AEA739" w14:textId="77777777" w:rsidR="008F273A" w:rsidRPr="00861F60" w:rsidRDefault="008F273A" w:rsidP="008F273A">
      <w:pPr>
        <w:pStyle w:val="ListParagraph"/>
        <w:numPr>
          <w:ilvl w:val="1"/>
          <w:numId w:val="39"/>
        </w:numPr>
        <w:tabs>
          <w:tab w:val="left" w:pos="1440"/>
        </w:tabs>
        <w:spacing w:after="0"/>
        <w:ind w:leftChars="0"/>
        <w:jc w:val="both"/>
        <w:rPr>
          <w:b/>
          <w:u w:val="single"/>
          <w:lang w:val="en-US"/>
        </w:rPr>
      </w:pPr>
      <w:r w:rsidRPr="00861F60">
        <w:rPr>
          <w:b/>
          <w:u w:val="single"/>
          <w:lang w:val="en-US"/>
        </w:rPr>
        <w:t xml:space="preserve">Alt 2: the one slot is slot </w:t>
      </w:r>
      <m:oMath>
        <m:sSub>
          <m:sSubPr>
            <m:ctrlPr>
              <w:rPr>
                <w:rFonts w:ascii="Cambria Math" w:hAnsi="Cambria Math"/>
                <w:b/>
                <w:i/>
                <w:u w:val="single"/>
                <w:lang w:val="en-US"/>
              </w:rPr>
            </m:ctrlPr>
          </m:sSubPr>
          <m:e>
            <m:r>
              <m:rPr>
                <m:sty m:val="bi"/>
              </m:rPr>
              <w:rPr>
                <w:rFonts w:ascii="Cambria Math" w:hAnsi="Cambria Math"/>
                <w:u w:val="single"/>
                <w:lang w:val="en-US"/>
              </w:rPr>
              <m:t>n</m:t>
            </m:r>
          </m:e>
          <m:sub>
            <m:r>
              <m:rPr>
                <m:sty m:val="bi"/>
              </m:rPr>
              <w:rPr>
                <w:rFonts w:ascii="Cambria Math" w:hAnsi="Cambria Math"/>
                <w:u w:val="single"/>
                <w:lang w:val="en-US"/>
              </w:rPr>
              <m:t>0</m:t>
            </m:r>
          </m:sub>
        </m:sSub>
      </m:oMath>
      <w:r w:rsidRPr="00861F60">
        <w:rPr>
          <w:b/>
          <w:u w:val="single"/>
          <w:lang w:val="en-US"/>
        </w:rPr>
        <w:t xml:space="preserve"> for </w:t>
      </w:r>
      <m:oMath>
        <m:r>
          <m:rPr>
            <m:sty m:val="bi"/>
          </m:rPr>
          <w:rPr>
            <w:rFonts w:ascii="Cambria Math" w:hAnsi="Cambria Math"/>
            <w:u w:val="single"/>
            <w:lang w:val="en-US"/>
          </w:rPr>
          <m:t>M=1</m:t>
        </m:r>
      </m:oMath>
      <w:r w:rsidRPr="00861F60">
        <w:rPr>
          <w:b/>
          <w:u w:val="single"/>
          <w:lang w:val="en-US"/>
        </w:rPr>
        <w:t xml:space="preserve"> and </w:t>
      </w:r>
      <m:oMath>
        <m:r>
          <m:rPr>
            <m:sty m:val="bi"/>
          </m:rPr>
          <w:rPr>
            <w:rFonts w:ascii="Cambria Math" w:hAnsi="Cambria Math"/>
            <w:u w:val="single"/>
            <w:lang w:val="en-US"/>
          </w:rPr>
          <m:t>M=1/2</m:t>
        </m:r>
      </m:oMath>
      <w:r w:rsidRPr="00861F60">
        <w:rPr>
          <w:b/>
          <w:u w:val="single"/>
          <w:lang w:val="en-US"/>
        </w:rPr>
        <w:t xml:space="preserve">, and configurable between slot </w:t>
      </w:r>
      <m:oMath>
        <m:sSub>
          <m:sSubPr>
            <m:ctrlPr>
              <w:rPr>
                <w:rFonts w:ascii="Cambria Math" w:hAnsi="Cambria Math"/>
                <w:b/>
                <w:i/>
                <w:u w:val="single"/>
                <w:lang w:val="en-US"/>
              </w:rPr>
            </m:ctrlPr>
          </m:sSubPr>
          <m:e>
            <m:r>
              <m:rPr>
                <m:sty m:val="bi"/>
              </m:rPr>
              <w:rPr>
                <w:rFonts w:ascii="Cambria Math" w:hAnsi="Cambria Math"/>
                <w:u w:val="single"/>
                <w:lang w:val="en-US"/>
              </w:rPr>
              <m:t>n</m:t>
            </m:r>
          </m:e>
          <m:sub>
            <m:r>
              <m:rPr>
                <m:sty m:val="bi"/>
              </m:rPr>
              <w:rPr>
                <w:rFonts w:ascii="Cambria Math" w:hAnsi="Cambria Math"/>
                <w:u w:val="single"/>
                <w:lang w:val="en-US"/>
              </w:rPr>
              <m:t>0</m:t>
            </m:r>
          </m:sub>
        </m:sSub>
      </m:oMath>
      <w:r w:rsidRPr="00861F60">
        <w:rPr>
          <w:b/>
          <w:u w:val="single"/>
          <w:lang w:val="en-US"/>
        </w:rPr>
        <w:t xml:space="preserve"> and </w:t>
      </w:r>
      <m:oMath>
        <m:sSub>
          <m:sSubPr>
            <m:ctrlPr>
              <w:rPr>
                <w:rFonts w:ascii="Cambria Math" w:hAnsi="Cambria Math"/>
                <w:b/>
                <w:i/>
                <w:u w:val="single"/>
                <w:lang w:val="en-US"/>
              </w:rPr>
            </m:ctrlPr>
          </m:sSubPr>
          <m:e>
            <m:r>
              <m:rPr>
                <m:sty m:val="bi"/>
              </m:rPr>
              <w:rPr>
                <w:rFonts w:ascii="Cambria Math" w:hAnsi="Cambria Math"/>
                <w:u w:val="single"/>
                <w:lang w:val="en-US"/>
              </w:rPr>
              <m:t>n</m:t>
            </m:r>
          </m:e>
          <m:sub>
            <m:r>
              <m:rPr>
                <m:sty m:val="bi"/>
              </m:rPr>
              <w:rPr>
                <w:rFonts w:ascii="Cambria Math" w:hAnsi="Cambria Math"/>
                <w:u w:val="single"/>
                <w:lang w:val="en-US"/>
              </w:rPr>
              <m:t>0</m:t>
            </m:r>
          </m:sub>
        </m:sSub>
        <m:r>
          <m:rPr>
            <m:sty m:val="bi"/>
          </m:rPr>
          <w:rPr>
            <w:rFonts w:ascii="Cambria Math" w:hAnsi="Cambria Math"/>
            <w:u w:val="single"/>
            <w:lang w:val="en-US"/>
          </w:rPr>
          <m:t>+1</m:t>
        </m:r>
      </m:oMath>
      <w:r w:rsidRPr="00861F60">
        <w:rPr>
          <w:b/>
          <w:u w:val="single"/>
          <w:lang w:val="en-US"/>
        </w:rPr>
        <w:t xml:space="preserve"> for </w:t>
      </w:r>
      <m:oMath>
        <m:r>
          <m:rPr>
            <m:sty m:val="bi"/>
          </m:rPr>
          <w:rPr>
            <w:rFonts w:ascii="Cambria Math" w:hAnsi="Cambria Math"/>
            <w:u w:val="single"/>
            <w:lang w:val="en-US"/>
          </w:rPr>
          <m:t>M=2;</m:t>
        </m:r>
      </m:oMath>
    </w:p>
    <w:p w14:paraId="6C52281F" w14:textId="77777777" w:rsidR="008F273A" w:rsidRDefault="008F273A" w:rsidP="008F273A">
      <w:pPr>
        <w:pStyle w:val="ListParagraph"/>
        <w:numPr>
          <w:ilvl w:val="0"/>
          <w:numId w:val="39"/>
        </w:numPr>
        <w:tabs>
          <w:tab w:val="left" w:pos="1440"/>
        </w:tabs>
        <w:spacing w:after="0"/>
        <w:ind w:leftChars="0"/>
        <w:jc w:val="both"/>
        <w:rPr>
          <w:b/>
          <w:u w:val="single"/>
          <w:lang w:val="en-US"/>
        </w:rPr>
      </w:pPr>
      <w:r w:rsidRPr="00861F60">
        <w:rPr>
          <w:b/>
          <w:u w:val="single"/>
          <w:lang w:val="en-US"/>
        </w:rPr>
        <w:t>No need to introduce the time offset for aligning Group (1) and Group (2) SS.</w:t>
      </w:r>
    </w:p>
    <w:p w14:paraId="4FC7F07F" w14:textId="77777777" w:rsidR="008F273A" w:rsidRDefault="008F273A" w:rsidP="008F273A">
      <w:pPr>
        <w:tabs>
          <w:tab w:val="left" w:pos="1300"/>
        </w:tabs>
        <w:spacing w:after="0"/>
        <w:jc w:val="both"/>
        <w:rPr>
          <w:b/>
          <w:u w:val="single"/>
          <w:lang w:val="en-US"/>
        </w:rPr>
      </w:pPr>
    </w:p>
    <w:p w14:paraId="070F0D02" w14:textId="337CA4B8" w:rsidR="008F273A" w:rsidRDefault="008F273A" w:rsidP="008F273A">
      <w:pPr>
        <w:tabs>
          <w:tab w:val="left" w:pos="1300"/>
        </w:tabs>
        <w:spacing w:after="0"/>
        <w:jc w:val="both"/>
        <w:rPr>
          <w:b/>
          <w:u w:val="single"/>
          <w:lang w:val="en-US"/>
        </w:rPr>
      </w:pPr>
      <w:r>
        <w:rPr>
          <w:b/>
          <w:u w:val="single"/>
          <w:lang w:val="en-US"/>
        </w:rPr>
        <w:t>Proposal 2</w:t>
      </w:r>
      <w:r w:rsidRPr="00861F60">
        <w:rPr>
          <w:b/>
          <w:u w:val="single"/>
          <w:lang w:val="en-US"/>
        </w:rPr>
        <w:t xml:space="preserve">: </w:t>
      </w:r>
      <w:r>
        <w:rPr>
          <w:b/>
          <w:u w:val="single"/>
          <w:lang w:val="en-US"/>
        </w:rPr>
        <w:t>For IDLE mode:</w:t>
      </w:r>
    </w:p>
    <w:p w14:paraId="6772C4F7" w14:textId="77777777" w:rsidR="008F273A" w:rsidRDefault="008F273A" w:rsidP="008F273A">
      <w:pPr>
        <w:pStyle w:val="ListParagraph"/>
        <w:numPr>
          <w:ilvl w:val="0"/>
          <w:numId w:val="40"/>
        </w:numPr>
        <w:tabs>
          <w:tab w:val="left" w:pos="1300"/>
        </w:tabs>
        <w:spacing w:after="0"/>
        <w:ind w:leftChars="0"/>
        <w:jc w:val="both"/>
        <w:rPr>
          <w:b/>
          <w:u w:val="single"/>
          <w:lang w:val="en-US"/>
        </w:rPr>
      </w:pPr>
      <w:r w:rsidRPr="00423831">
        <w:rPr>
          <w:b/>
          <w:u w:val="single"/>
          <w:lang w:val="en-US"/>
        </w:rPr>
        <w:t>Support the mandatory UE capability for multi-slot PDCCH monitoring</w:t>
      </w:r>
      <w:r>
        <w:rPr>
          <w:b/>
          <w:u w:val="single"/>
          <w:lang w:val="en-US"/>
        </w:rPr>
        <w:t>;</w:t>
      </w:r>
    </w:p>
    <w:p w14:paraId="1EB29DF0" w14:textId="0335D293" w:rsidR="008F273A" w:rsidRPr="008F273A" w:rsidRDefault="008F273A" w:rsidP="008F273A">
      <w:pPr>
        <w:pStyle w:val="ListParagraph"/>
        <w:numPr>
          <w:ilvl w:val="0"/>
          <w:numId w:val="40"/>
        </w:numPr>
        <w:tabs>
          <w:tab w:val="left" w:pos="1300"/>
        </w:tabs>
        <w:spacing w:after="0"/>
        <w:ind w:leftChars="0"/>
        <w:jc w:val="both"/>
        <w:rPr>
          <w:b/>
          <w:u w:val="single"/>
          <w:lang w:val="en-US"/>
        </w:rPr>
      </w:pPr>
      <w:r>
        <w:rPr>
          <w:b/>
          <w:u w:val="single"/>
          <w:lang w:val="en-US"/>
        </w:rPr>
        <w:t>Don’t support slot based PDCCH monitoring.</w:t>
      </w:r>
    </w:p>
    <w:p w14:paraId="68B444BD" w14:textId="77777777" w:rsidR="008F273A" w:rsidRDefault="008F273A" w:rsidP="008F273A">
      <w:pPr>
        <w:spacing w:after="0"/>
        <w:jc w:val="both"/>
        <w:rPr>
          <w:b/>
          <w:u w:val="single"/>
        </w:rPr>
      </w:pPr>
    </w:p>
    <w:p w14:paraId="17C4A974" w14:textId="66BDE97D" w:rsidR="008F273A" w:rsidRDefault="008F273A" w:rsidP="008F273A">
      <w:pPr>
        <w:spacing w:after="0"/>
        <w:jc w:val="both"/>
        <w:rPr>
          <w:b/>
          <w:u w:val="single"/>
        </w:rPr>
      </w:pPr>
      <w:r w:rsidRPr="00232C90">
        <w:rPr>
          <w:b/>
          <w:u w:val="single"/>
        </w:rPr>
        <w:t xml:space="preserve">Proposal </w:t>
      </w:r>
      <w:r>
        <w:rPr>
          <w:b/>
          <w:u w:val="single"/>
        </w:rPr>
        <w:t>3</w:t>
      </w:r>
      <w:r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Pr="00232C90">
        <w:rPr>
          <w:b/>
          <w:u w:val="single"/>
        </w:rPr>
        <w:t xml:space="preserve"> of PDCCH candidates</w:t>
      </w:r>
      <w:r>
        <w:rPr>
          <w:b/>
          <w:u w:val="single"/>
        </w:rPr>
        <w:t xml:space="preserve">, and </w:t>
      </w:r>
      <w:r w:rsidRPr="00232C90">
        <w:rPr>
          <w:b/>
          <w:u w:val="single"/>
        </w:rPr>
        <w:t xml:space="preserve">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Pr="00232C90">
        <w:rPr>
          <w:b/>
          <w:u w:val="single"/>
        </w:rPr>
        <w:t>of non-overlapped CCEs</w:t>
      </w:r>
      <w:r>
        <w:rPr>
          <w:b/>
          <w:u w:val="single"/>
        </w:rPr>
        <w:t>,</w:t>
      </w:r>
      <w:r w:rsidRPr="00232C90">
        <w:rPr>
          <w:b/>
          <w:u w:val="single"/>
        </w:rPr>
        <w:t xml:space="preserve"> per </w:t>
      </w:r>
      <w:r>
        <w:rPr>
          <w:b/>
          <w:u w:val="single"/>
        </w:rPr>
        <w:t>X</w:t>
      </w:r>
      <w:r w:rsidRPr="00232C90">
        <w:rPr>
          <w:b/>
          <w:u w:val="single"/>
        </w:rPr>
        <w:t xml:space="preserve">-slot </w:t>
      </w:r>
      <w:r>
        <w:rPr>
          <w:b/>
          <w:u w:val="single"/>
        </w:rPr>
        <w:t>group</w:t>
      </w:r>
      <w:r w:rsidRPr="00232C90">
        <w:rPr>
          <w:b/>
          <w:u w:val="single"/>
        </w:rPr>
        <w:t xml:space="preserve"> for </w:t>
      </w:r>
      <w:r>
        <w:rPr>
          <w:b/>
          <w:u w:val="single"/>
        </w:rPr>
        <w:t xml:space="preserve">each </w:t>
      </w:r>
      <w:r w:rsidRPr="00232C90">
        <w:rPr>
          <w:b/>
          <w:u w:val="single"/>
        </w:rPr>
        <w:t>combination (X, Y)</w:t>
      </w:r>
      <w:r>
        <w:rPr>
          <w:b/>
          <w:u w:val="single"/>
        </w:rPr>
        <w:t>.</w:t>
      </w:r>
    </w:p>
    <w:p w14:paraId="1EB350A8" w14:textId="77777777" w:rsidR="008F273A" w:rsidRPr="00EB6506" w:rsidRDefault="008F273A" w:rsidP="008F273A">
      <w:pPr>
        <w:spacing w:after="0"/>
        <w:jc w:val="both"/>
        <w:rPr>
          <w:b/>
          <w:iCs/>
          <w:u w:val="single"/>
        </w:rPr>
      </w:pPr>
    </w:p>
    <w:p w14:paraId="6EA58315" w14:textId="6029F440" w:rsidR="008F273A" w:rsidRDefault="008F273A" w:rsidP="008F273A">
      <w:pPr>
        <w:spacing w:after="0"/>
        <w:jc w:val="both"/>
        <w:rPr>
          <w:b/>
          <w:u w:val="single"/>
          <w:lang w:val="en-US"/>
        </w:rPr>
      </w:pPr>
      <w:r w:rsidRPr="00232C90">
        <w:rPr>
          <w:b/>
          <w:u w:val="single"/>
        </w:rPr>
        <w:t xml:space="preserve">Proposal </w:t>
      </w:r>
      <w:r>
        <w:rPr>
          <w:b/>
          <w:u w:val="single"/>
        </w:rPr>
        <w:t>4</w:t>
      </w:r>
      <w:r w:rsidRPr="00232C90">
        <w:rPr>
          <w:b/>
          <w:u w:val="single"/>
        </w:rPr>
        <w:t>:</w:t>
      </w:r>
      <w:r>
        <w:rPr>
          <w:b/>
          <w:u w:val="single"/>
        </w:rPr>
        <w:t xml:space="preserve"> For </w:t>
      </w:r>
      <w:r w:rsidRPr="00232C90">
        <w:rPr>
          <w:b/>
          <w:u w:val="single"/>
        </w:rPr>
        <w:t>multi-s</w:t>
      </w:r>
      <w:r>
        <w:rPr>
          <w:b/>
          <w:u w:val="single"/>
        </w:rPr>
        <w:t xml:space="preserve">lot PDCCH monitoring based on combination (X, Y), the </w:t>
      </w:r>
      <w:r w:rsidRPr="00B673F0">
        <w:rPr>
          <w:b/>
          <w:u w:val="single"/>
        </w:rPr>
        <w:t>PDCCH monitoring periodicity</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w:t>
      </w:r>
      <w:r w:rsidRPr="00B673F0">
        <w:rPr>
          <w:b/>
          <w:u w:val="single"/>
        </w:rPr>
        <w:t xml:space="preserve"> </w:t>
      </w:r>
      <m:oMath>
        <m:r>
          <m:rPr>
            <m:sty m:val="bi"/>
          </m:rPr>
          <w:rPr>
            <w:rFonts w:ascii="Cambria Math" w:hAnsi="Cambria Math"/>
            <w:u w:val="single"/>
          </w:rPr>
          <m:t>k=1, 2, …</m:t>
        </m:r>
      </m:oMath>
      <w:r>
        <w:rPr>
          <w:b/>
          <w:u w:val="single"/>
        </w:rPr>
        <w:t xml:space="preserve">, and the </w:t>
      </w:r>
      <w:r w:rsidRPr="00B673F0">
        <w:rPr>
          <w:b/>
          <w:u w:val="single"/>
        </w:rPr>
        <w:t>PDCCH monitoring duration</w:t>
      </w:r>
      <w:r>
        <w:rPr>
          <w:b/>
          <w:u w:val="single"/>
        </w:rPr>
        <w:t xml:space="preserve"> is</w:t>
      </w:r>
      <w:r w:rsidRPr="00B673F0">
        <w:rPr>
          <w:b/>
          <w:u w:val="single"/>
        </w:rPr>
        <w:t xml:space="preserve"> </w:t>
      </w:r>
      <m:oMath>
        <m:sSub>
          <m:sSubPr>
            <m:ctrlPr>
              <w:rPr>
                <w:rFonts w:ascii="Cambria Math" w:hAnsi="Cambria Math"/>
                <w:b/>
                <w:i/>
                <w:u w:val="single"/>
                <w:lang w:val="en-US"/>
              </w:rPr>
            </m:ctrlPr>
          </m:sSubPr>
          <m:e>
            <m:r>
              <m:rPr>
                <m:sty m:val="bi"/>
              </m:rPr>
              <w:rPr>
                <w:rFonts w:ascii="Cambria Math" w:hAnsi="Cambria Math"/>
                <w:u w:val="single"/>
                <w:lang w:val="en-US"/>
              </w:rPr>
              <m:t>T</m:t>
            </m:r>
          </m:e>
          <m:sub>
            <m:r>
              <m:rPr>
                <m:sty m:val="bi"/>
              </m:rPr>
              <w:rPr>
                <w:rFonts w:ascii="Cambria Math" w:hAnsi="Cambria Math"/>
                <w:u w:val="single"/>
                <w:lang w:val="en-US"/>
              </w:rPr>
              <m:t>s</m:t>
            </m:r>
          </m:sub>
        </m:sSub>
        <m:r>
          <m:rPr>
            <m:sty m:val="bi"/>
          </m:rPr>
          <w:rPr>
            <w:rFonts w:ascii="Cambria Math" w:hAnsi="Cambria Math" w:hint="eastAsia"/>
            <w:u w:val="single"/>
            <w:lang w:val="en-US"/>
          </w:rPr>
          <m:t>≤</m:t>
        </m:r>
        <m:r>
          <m:rPr>
            <m:sty m:val="bi"/>
          </m:rPr>
          <w:rPr>
            <w:rFonts w:ascii="Cambria Math" w:hAnsi="Cambria Math"/>
            <w:u w:val="single"/>
            <w:lang w:val="en-US"/>
          </w:rPr>
          <m:t>Y</m:t>
        </m:r>
      </m:oMath>
      <w:r>
        <w:rPr>
          <w:b/>
          <w:u w:val="single"/>
          <w:lang w:val="en-US"/>
        </w:rPr>
        <w:t>.</w:t>
      </w:r>
    </w:p>
    <w:p w14:paraId="448C366F" w14:textId="77777777" w:rsidR="008F273A" w:rsidRPr="00B673F0" w:rsidRDefault="008F273A" w:rsidP="008F273A">
      <w:pPr>
        <w:spacing w:after="0"/>
        <w:jc w:val="both"/>
        <w:rPr>
          <w:b/>
          <w:u w:val="single"/>
        </w:rPr>
      </w:pPr>
    </w:p>
    <w:p w14:paraId="5EA2A274" w14:textId="52110B7A" w:rsidR="008F273A" w:rsidRDefault="008F273A" w:rsidP="008F273A">
      <w:pPr>
        <w:spacing w:after="0"/>
        <w:jc w:val="both"/>
        <w:rPr>
          <w:b/>
          <w:u w:val="single"/>
        </w:rPr>
      </w:pPr>
      <w:r>
        <w:rPr>
          <w:b/>
          <w:u w:val="single"/>
        </w:rPr>
        <w:t xml:space="preserve">Proposal 5: Support PDCCH candidate </w:t>
      </w:r>
      <w:r w:rsidRPr="00232C90">
        <w:rPr>
          <w:b/>
          <w:u w:val="single"/>
        </w:rPr>
        <w:t>droppin</w:t>
      </w:r>
      <w:r>
        <w:rPr>
          <w:b/>
          <w:u w:val="single"/>
        </w:rPr>
        <w:t>g per a X-slot group for a single serving cell and across multiple CCs in CA.</w:t>
      </w:r>
    </w:p>
    <w:p w14:paraId="72F22846" w14:textId="77777777" w:rsidR="008F273A" w:rsidRDefault="008F273A" w:rsidP="008F273A">
      <w:pPr>
        <w:spacing w:after="0"/>
        <w:jc w:val="both"/>
        <w:rPr>
          <w:b/>
          <w:u w:val="single"/>
        </w:rPr>
      </w:pPr>
    </w:p>
    <w:p w14:paraId="203F36A7" w14:textId="4F000748" w:rsidR="008F273A" w:rsidRDefault="008F273A" w:rsidP="008F273A">
      <w:pPr>
        <w:spacing w:after="0"/>
        <w:jc w:val="both"/>
        <w:rPr>
          <w:b/>
          <w:u w:val="single"/>
        </w:rPr>
      </w:pPr>
      <w:r w:rsidRPr="00C13A46">
        <w:rPr>
          <w:b/>
          <w:u w:val="single"/>
        </w:rPr>
        <w:t xml:space="preserve">Proposal </w:t>
      </w:r>
      <w:r>
        <w:rPr>
          <w:b/>
          <w:u w:val="single"/>
        </w:rPr>
        <w:t>6</w:t>
      </w:r>
      <w:r w:rsidRPr="00C13A46">
        <w:rPr>
          <w:b/>
          <w:u w:val="single"/>
        </w:rPr>
        <w:t xml:space="preserve">: </w:t>
      </w:r>
      <w:r>
        <w:rPr>
          <w:b/>
          <w:u w:val="single"/>
        </w:rPr>
        <w:t>For multi-slot PDCCH monitoring</w:t>
      </w:r>
      <w:r w:rsidRPr="00C13A46">
        <w:rPr>
          <w:b/>
          <w:u w:val="single"/>
        </w:rPr>
        <w:t xml:space="preserve">,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w:t>
      </w:r>
      <w:r>
        <w:rPr>
          <w:b/>
          <w:u w:val="single"/>
        </w:rPr>
        <w:t>for determining the CCE location</w:t>
      </w:r>
      <w:r w:rsidRPr="00C13A46">
        <w:rPr>
          <w:b/>
          <w:u w:val="single"/>
        </w:rPr>
        <w:t xml:space="preserve">.  </w:t>
      </w:r>
    </w:p>
    <w:p w14:paraId="4F2426C1" w14:textId="77777777" w:rsidR="008F273A" w:rsidRDefault="008F273A" w:rsidP="008F273A">
      <w:pPr>
        <w:spacing w:after="0"/>
        <w:jc w:val="both"/>
        <w:rPr>
          <w:b/>
          <w:u w:val="single"/>
        </w:rPr>
      </w:pPr>
    </w:p>
    <w:p w14:paraId="34205778" w14:textId="77777777" w:rsidR="008F273A" w:rsidRPr="00E03DC1" w:rsidRDefault="008F273A" w:rsidP="008F273A">
      <w:pPr>
        <w:tabs>
          <w:tab w:val="left" w:pos="1300"/>
        </w:tabs>
        <w:spacing w:after="0"/>
        <w:jc w:val="both"/>
        <w:rPr>
          <w:b/>
          <w:u w:val="single"/>
          <w:lang w:val="en-US"/>
        </w:rPr>
      </w:pPr>
      <w:r w:rsidRPr="00D65339">
        <w:rPr>
          <w:b/>
          <w:u w:val="single"/>
          <w:lang w:val="en-US"/>
        </w:rPr>
        <w:t xml:space="preserve">Proposal </w:t>
      </w:r>
      <w:r>
        <w:rPr>
          <w:b/>
          <w:u w:val="single"/>
          <w:lang w:val="en-US"/>
        </w:rPr>
        <w:t>7</w:t>
      </w:r>
      <w:r w:rsidRPr="00D65339">
        <w:rPr>
          <w:b/>
          <w:u w:val="single"/>
          <w:lang w:val="en-US"/>
        </w:rPr>
        <w:t>: Support indicating COT, available RB set, and search space group switching in a beam-specific manner for 60 GHz licensed band.</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0A38A4FB" w14:textId="05D76E35" w:rsidR="009D3832" w:rsidRPr="00F34076" w:rsidRDefault="00F34076" w:rsidP="00C6059D">
      <w:pPr>
        <w:rPr>
          <w:lang w:val="en-US" w:eastAsia="ja-JP"/>
        </w:rPr>
      </w:pPr>
      <w:r>
        <w:rPr>
          <w:lang w:val="en-US" w:eastAsia="ja-JP"/>
        </w:rPr>
        <w:t xml:space="preserve">[1] </w:t>
      </w:r>
      <w:r w:rsidR="00C6059D">
        <w:rPr>
          <w:lang w:val="en-US" w:eastAsia="ja-JP"/>
        </w:rPr>
        <w:t>Chairman notes</w:t>
      </w:r>
      <w:r w:rsidR="00BF05D2">
        <w:rPr>
          <w:lang w:val="en-US" w:eastAsia="ja-JP"/>
        </w:rPr>
        <w:t>, 3GPP</w:t>
      </w:r>
      <w:r w:rsidR="00AE7E06">
        <w:rPr>
          <w:lang w:val="en-US" w:eastAsia="ja-JP"/>
        </w:rPr>
        <w:t xml:space="preserve"> RAN1#106</w:t>
      </w:r>
      <w:r w:rsidR="00513276">
        <w:rPr>
          <w:lang w:val="en-US" w:eastAsia="ja-JP"/>
        </w:rPr>
        <w:t>bis</w:t>
      </w:r>
      <w:r w:rsidR="00C6059D">
        <w:rPr>
          <w:lang w:val="en-US" w:eastAsia="ja-JP"/>
        </w:rPr>
        <w:t>-e</w:t>
      </w:r>
      <w:r w:rsidR="00BF05D2">
        <w:rPr>
          <w:lang w:val="en-US" w:eastAsia="ja-JP"/>
        </w:rPr>
        <w:t xml:space="preserve">, </w:t>
      </w:r>
      <w:r w:rsidR="00513276">
        <w:rPr>
          <w:lang w:val="en-US" w:eastAsia="ja-JP"/>
        </w:rPr>
        <w:t>October</w:t>
      </w:r>
      <w:r w:rsidR="00BF05D2">
        <w:rPr>
          <w:lang w:val="en-US" w:eastAsia="ja-JP"/>
        </w:rPr>
        <w:t>, 2021</w:t>
      </w:r>
      <w:r w:rsidR="00C6059D">
        <w:rPr>
          <w:lang w:val="en-US" w:eastAsia="ja-JP"/>
        </w:rPr>
        <w:t xml:space="preserve">. </w:t>
      </w:r>
      <w:r w:rsidR="009D3832">
        <w:rPr>
          <w:lang w:val="en-US" w:eastAsia="ja-JP"/>
        </w:rPr>
        <w:t xml:space="preserve"> </w:t>
      </w:r>
    </w:p>
    <w:sectPr w:rsidR="009D3832" w:rsidRPr="00F34076"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3CA68" w14:textId="77777777" w:rsidR="00BF081E" w:rsidRDefault="00BF081E" w:rsidP="00083046">
      <w:r>
        <w:separator/>
      </w:r>
    </w:p>
  </w:endnote>
  <w:endnote w:type="continuationSeparator" w:id="0">
    <w:p w14:paraId="69A26B0F" w14:textId="77777777" w:rsidR="00BF081E" w:rsidRDefault="00BF081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2D5AD" w14:textId="77777777" w:rsidR="00BF081E" w:rsidRDefault="00BF081E" w:rsidP="00083046">
      <w:r>
        <w:separator/>
      </w:r>
    </w:p>
  </w:footnote>
  <w:footnote w:type="continuationSeparator" w:id="0">
    <w:p w14:paraId="7814AA42" w14:textId="77777777" w:rsidR="00BF081E" w:rsidRDefault="00BF081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61F60" w:rsidRDefault="00861F6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7980"/>
    <w:multiLevelType w:val="hybridMultilevel"/>
    <w:tmpl w:val="F2F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0F7EF2"/>
    <w:multiLevelType w:val="hybridMultilevel"/>
    <w:tmpl w:val="C346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7630B6"/>
    <w:multiLevelType w:val="hybridMultilevel"/>
    <w:tmpl w:val="07F2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821C47"/>
    <w:multiLevelType w:val="hybridMultilevel"/>
    <w:tmpl w:val="1016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BE0929"/>
    <w:multiLevelType w:val="hybridMultilevel"/>
    <w:tmpl w:val="1A022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056229"/>
    <w:multiLevelType w:val="hybridMultilevel"/>
    <w:tmpl w:val="0A8C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84952"/>
    <w:multiLevelType w:val="hybridMultilevel"/>
    <w:tmpl w:val="E4BC8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03051D6"/>
    <w:multiLevelType w:val="hybridMultilevel"/>
    <w:tmpl w:val="95AA2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C3991"/>
    <w:multiLevelType w:val="hybridMultilevel"/>
    <w:tmpl w:val="5B8CA2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AA3903"/>
    <w:multiLevelType w:val="hybridMultilevel"/>
    <w:tmpl w:val="AD10AF9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3"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7"/>
  </w:num>
  <w:num w:numId="4">
    <w:abstractNumId w:val="35"/>
  </w:num>
  <w:num w:numId="5">
    <w:abstractNumId w:val="24"/>
  </w:num>
  <w:num w:numId="6">
    <w:abstractNumId w:val="36"/>
  </w:num>
  <w:num w:numId="7">
    <w:abstractNumId w:val="25"/>
  </w:num>
  <w:num w:numId="8">
    <w:abstractNumId w:val="8"/>
  </w:num>
  <w:num w:numId="9">
    <w:abstractNumId w:val="3"/>
  </w:num>
  <w:num w:numId="10">
    <w:abstractNumId w:val="4"/>
  </w:num>
  <w:num w:numId="11">
    <w:abstractNumId w:val="29"/>
  </w:num>
  <w:num w:numId="12">
    <w:abstractNumId w:val="15"/>
  </w:num>
  <w:num w:numId="13">
    <w:abstractNumId w:val="9"/>
  </w:num>
  <w:num w:numId="14">
    <w:abstractNumId w:val="13"/>
  </w:num>
  <w:num w:numId="15">
    <w:abstractNumId w:val="31"/>
  </w:num>
  <w:num w:numId="16">
    <w:abstractNumId w:val="10"/>
  </w:num>
  <w:num w:numId="17">
    <w:abstractNumId w:val="17"/>
  </w:num>
  <w:num w:numId="18">
    <w:abstractNumId w:val="31"/>
  </w:num>
  <w:num w:numId="19">
    <w:abstractNumId w:val="1"/>
  </w:num>
  <w:num w:numId="20">
    <w:abstractNumId w:val="18"/>
  </w:num>
  <w:num w:numId="21">
    <w:abstractNumId w:val="20"/>
  </w:num>
  <w:num w:numId="22">
    <w:abstractNumId w:val="5"/>
  </w:num>
  <w:num w:numId="23">
    <w:abstractNumId w:val="34"/>
  </w:num>
  <w:num w:numId="24">
    <w:abstractNumId w:val="28"/>
  </w:num>
  <w:num w:numId="25">
    <w:abstractNumId w:val="6"/>
  </w:num>
  <w:num w:numId="26">
    <w:abstractNumId w:val="22"/>
  </w:num>
  <w:num w:numId="27">
    <w:abstractNumId w:val="19"/>
  </w:num>
  <w:num w:numId="28">
    <w:abstractNumId w:val="14"/>
  </w:num>
  <w:num w:numId="29">
    <w:abstractNumId w:val="32"/>
  </w:num>
  <w:num w:numId="30">
    <w:abstractNumId w:val="2"/>
  </w:num>
  <w:num w:numId="31">
    <w:abstractNumId w:val="21"/>
  </w:num>
  <w:num w:numId="32">
    <w:abstractNumId w:val="7"/>
  </w:num>
  <w:num w:numId="33">
    <w:abstractNumId w:val="33"/>
  </w:num>
  <w:num w:numId="34">
    <w:abstractNumId w:val="30"/>
  </w:num>
  <w:num w:numId="35">
    <w:abstractNumId w:val="0"/>
  </w:num>
  <w:num w:numId="36">
    <w:abstractNumId w:val="12"/>
  </w:num>
  <w:num w:numId="37">
    <w:abstractNumId w:val="37"/>
  </w:num>
  <w:num w:numId="38">
    <w:abstractNumId w:val="26"/>
  </w:num>
  <w:num w:numId="39">
    <w:abstractNumId w:val="23"/>
  </w:num>
  <w:num w:numId="40">
    <w:abstractNumId w:val="16"/>
  </w:num>
  <w:num w:numId="41">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4C6F"/>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8F6"/>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415"/>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831"/>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12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DE6"/>
    <w:rsid w:val="00565F55"/>
    <w:rsid w:val="005678F0"/>
    <w:rsid w:val="00567B39"/>
    <w:rsid w:val="00570A66"/>
    <w:rsid w:val="00571745"/>
    <w:rsid w:val="00571DE2"/>
    <w:rsid w:val="0057342A"/>
    <w:rsid w:val="00573687"/>
    <w:rsid w:val="005739F8"/>
    <w:rsid w:val="00573A3A"/>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6864"/>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332"/>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1F7E"/>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0E3C"/>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DC0"/>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0E96"/>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1F60"/>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8BD"/>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0BF7"/>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73A"/>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6D6"/>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8B5"/>
    <w:rsid w:val="009D0202"/>
    <w:rsid w:val="009D0769"/>
    <w:rsid w:val="009D0F6C"/>
    <w:rsid w:val="009D1438"/>
    <w:rsid w:val="009D15E4"/>
    <w:rsid w:val="009D17C2"/>
    <w:rsid w:val="009D1CAA"/>
    <w:rsid w:val="009D246C"/>
    <w:rsid w:val="009D26AB"/>
    <w:rsid w:val="009D2ED2"/>
    <w:rsid w:val="009D3832"/>
    <w:rsid w:val="009D45C5"/>
    <w:rsid w:val="009D51A2"/>
    <w:rsid w:val="009D6CAD"/>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40879"/>
    <w:rsid w:val="00A40AD6"/>
    <w:rsid w:val="00A414AC"/>
    <w:rsid w:val="00A41899"/>
    <w:rsid w:val="00A41908"/>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056"/>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4FFC"/>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81E"/>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8E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7E"/>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4D7"/>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998"/>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DE672-CEBC-487E-BD64-5F61FA2C0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2445</Words>
  <Characters>13939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2021-11-05T23:21:00Z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